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best_fixation_target_retinal</w:t>
      </w:r>
    </w:p>
    <w:p>
      <w:r>
        <w:t xml:space="preserve"> </w:t>
      </w:r>
    </w:p>
    <w:p>
      <w:pPr>
        <w:pStyle w:val="Heading2"/>
      </w:pPr>
      <w:r>
        <w:t>Title</w:t>
      </w:r>
    </w:p>
    <w:p>
      <w:r>
        <w:t>Retinal eye-tracking assessment of fixation-target design and polarity effects on fixational eye movements</w:t>
      </w:r>
    </w:p>
    <w:p>
      <w:r>
        <w:t xml:space="preserve"> </w:t>
      </w:r>
    </w:p>
    <w:p>
      <w:pPr>
        <w:pStyle w:val="Heading2"/>
      </w:pPr>
      <w:r>
        <w:t>Short Hypothesis</w:t>
      </w:r>
    </w:p>
    <w:p>
      <w:r>
        <w:t>Changing fixation-target shape and polarity causes a within-subject reduction in retinal fixation variability, such that an optimized target produces at least a 20% decrease in log(BCEA_68) relative to a standard small-dot reference.</w:t>
      </w:r>
    </w:p>
    <w:p>
      <w:r>
        <w:t xml:space="preserve"> </w:t>
      </w:r>
    </w:p>
    <w:p>
      <w:pPr>
        <w:pStyle w:val="Heading2"/>
      </w:pPr>
      <w:r>
        <w:t>Related Work</w:t>
      </w:r>
    </w:p>
    <w:p>
      <w:r>
        <w:t>Existing studies of fixation targets and polarity have used video-based eye trackers and have reported mixed results: some target shapes or contrasts reduce gaze spread or microsaccade rate, while others show no clear benefit. Video-based trackers are limited by lower spatial precision, camera-based pupil/iris estimation errors, and less accurate retinal mapping, which makes measurement of small movements (microsaccades, drift) noisy. Prior work often reports only gaze dispersion from screen-space coordinates, uses differing microsaccade detectors without cross-Fs validation, and rarely separates drift spectral properties from saccadic events. Studies of polarity effects (dark-on-light vs light-on-dark) are inconsistent and underpowered, and subgroup analyses (e.g., preferred retinal locus, PRL, or macular disease) are scarce. Overall limitations are: limited spatial/temporal fidelity, inconsistent detection pipelines, inadequate synthetic validation, weak preregistration of SESOI and QC rules, and little assessment of how measurement method (video-based vs retinal imaging) biases results.</w:t>
      </w:r>
    </w:p>
    <w:p>
      <w:r>
        <w:t xml:space="preserve"> </w:t>
      </w:r>
    </w:p>
    <w:p>
      <w:pPr>
        <w:pStyle w:val="Heading2"/>
      </w:pPr>
      <w:r>
        <w:t>Abstract</w:t>
      </w:r>
    </w:p>
    <w:p>
      <w:r>
        <w:t>We reexamine how fixation-target design and polarity affect small eye movements (microsaccades and drift) using high-resolution retinal eye tracking that directly maps gaze to retinal coordinates. The problem is that common video-based trackers provide noisy, screen-space measures that obscure small oculomotor effects and produce inconsistent recommendations for fixation-target design. Our approach is to present multiple target shapes across two polarity conditions while recording retinal traces, microsaccades, and drift with a pre-registered analysis and synthetic-data validation pipeline. The main contribution is a reproducible comparison of target designs using a retinal 68% bivariate contour ellipse area (BCEA_68) primary endpoint, explicit smallest-effect thresholds, and validated microsaccade detection across sampling rates. Expected outcomes are: (1) identification of target designs and polarities that minimize retinal fixation variability, (2) validated detector and QC rules for retinal data, and (3) open, synthetic benchmark data and code that enable reproducible assessment of fixation-target effects and measurement biases between retinal and video-based trackers.</w:t>
      </w:r>
    </w:p>
    <w:p>
      <w:r>
        <w:t xml:space="preserve"> </w:t>
      </w:r>
    </w:p>
    <w:p>
      <w:pPr>
        <w:pStyle w:val="Heading2"/>
      </w:pPr>
      <w:r>
        <w:t>Experiments</w:t>
      </w:r>
    </w:p>
    <w:p>
      <w:r>
        <w:t>Participants: pilot N=12 for variance estimation, planned within-subject N=30 healthy adults (18–65, BCVA ≥20/25) plus optional clinical AMD cohort stratified by AREDS grade and PRL bins (≤0.5°, 0.5–2°, 2–8°). Stimuli: five fixation-target designs (including a standard small dot, crosshair, ring/bullseye, Gaussian blob, and an optimized grid-derived target) presented in two polarities (dark-on-light, light-on-dark). Each subject completes K repeats per condition (K≥6) with block duration 20–30 s; adaptive reduction to 10–15 s allowed per QC rules. Recording hardware: retinal imager 60 Hz (8–16 ms exposure) + pupil tracker 1000 Hz preferred (≥500 Hz acceptable); stimulus display 120 Hz. Baselines: standard small-dot target (reference) and concurrent video-based tracker measurement for method comparison. Primary metric: within-subject change in log(BCEA_68) (BCEA_68 = 68% bivariate contour ellipse area on retinal coordinates). Secondary metrics: microsaccade rate, amplitude, direction distribution, inter-microsaccade interval, drift velocity and 1/f spectral slope, retinal centroid variance. QC/exclusion: block excluded if blink fraction &gt;20%, mapping RMS &gt;1.0 arcmin, frame corruption &gt;5%; subject excluded if &gt;25% conditions lost. Analysis: preregistered linear mixed-effects model (LMM) with fixed effects target, polarity, PRL_bin, target×PRL and target×polarity interactions; random intercepts and random slopes for target by subject. SESOI: 20% reduction in BCEA_68; equivalence bounds ±15%. Statistical plan: REML estimation, diagnostic checks, O’Brien–Fleming alpha-spend for interim, blinded conditional-power re-estimation after pilot. Ablations and comparisons: (1) polarity ablation (same shape, opposite polarity) to isolate polarity effect, (2) detector sensitivity ablation varying Engbert–Kliegl lambda and min-duration and smoothing windows, (3) sampling-rate ablation comparing detections at 500 Hz vs 1000 Hz, (4) baseline method comparison: retinal tracker vs video-based tracker to quantify measurement bias. Synthetic validation: use generator with annotated ground truth (microsaccade rate 0.5–2 Hz, amplitude 0.05–1.0°, 1/f drift, noise 0.5–1 arcmin RMS, latency jitter 0–25 ms); require microsaccade detection precision/recall ≥90% and BCEA bias ≤±5% under nominal conditions. Outcome reporting: report point estimates, 95% CIs, robustness maps across detector parameters, subgroup results only if preregistered pooling rules satisfied.</w:t>
      </w:r>
    </w:p>
    <w:p>
      <w:r>
        <w:t xml:space="preserve"> </w:t>
      </w:r>
    </w:p>
    <w:p>
      <w:pPr>
        <w:pStyle w:val="Heading2"/>
      </w:pPr>
      <w:r>
        <w:t>Risk Factors And Limitations</w:t>
      </w:r>
    </w:p>
    <w:p>
      <w:r>
        <w:t>Hardware and timing: closed-loop remap latency &gt;25 ms or jitter &gt;5 ms will reduce temporal fidelity and may blur event alignment. Calibration and drift: retinal↔stimulus mapping failure or per-block RMS &gt;1 arcmin will invalidate spatial measures. Sampling-rate dependence: lower pupil-sampling rates (500 Hz) reduce sensitivity to small, short microsaccades and require altered detection thresholds, causing cross-Fs bias. Detection and pipeline choices: microsaccade detector parameter settings can change event counts and BCEA; sensitivity analyses may still leave ambiguity. Participant factors: high blink rates, discomfort, or PRL eccentricity &gt;2° may reduce usable data and cause selection bias if exclusions are nonrandom. Statistical power: subgroup and interaction tests require larger N than main effect; planned N may be underpowered for small subgroups. Generalization: findings from a retinal-imaging lab setup may not transfer to standard video-based trackers or real-world tasks. Privacy and data sharing: raw retinal images contain sensitive data and require controlled access; public releases limited to processed traces and synthetic data. Computational/operational: processing, calibration, and unit testing add development time; reproducible containers and seeds are required to avoid non-deterministic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