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iad_wikidata_reconciliation</w:t>
      </w:r>
    </w:p>
    <w:p>
      <w:r>
        <w:t xml:space="preserve"> </w:t>
      </w:r>
    </w:p>
    <w:p>
      <w:pPr>
        <w:pStyle w:val="Heading2"/>
      </w:pPr>
      <w:r>
        <w:t>Title</w:t>
      </w:r>
    </w:p>
    <w:p>
      <w:r>
        <w:t>Probabilistic reconciliation of museum collection records to Wikidata for creating a linked open index of Index of American Design constituents</w:t>
      </w:r>
    </w:p>
    <w:p>
      <w:r>
        <w:t xml:space="preserve"> </w:t>
      </w:r>
    </w:p>
    <w:p>
      <w:pPr>
        <w:pStyle w:val="Heading2"/>
      </w:pPr>
      <w:r>
        <w:t>Short Hypothesis</w:t>
      </w:r>
    </w:p>
    <w:p>
      <w:r>
        <w:t>Applying a calibrated probabilistic entity reconciliation pipeline to normalized museum records will increase the precision of automatic links to Wikidata for creator entities to at least 0.95 while maintaining recall of at least 0.90, compared to deterministic exact-match methods.</w:t>
      </w:r>
    </w:p>
    <w:p>
      <w:r>
        <w:t xml:space="preserve"> </w:t>
      </w:r>
    </w:p>
    <w:p>
      <w:pPr>
        <w:pStyle w:val="Heading2"/>
      </w:pPr>
      <w:r>
        <w:t>Related Work</w:t>
      </w:r>
    </w:p>
    <w:p>
      <w:r>
        <w:t>Prior approaches to linking cultural heritage records to external authority files include deterministic exact-string matching, rule-based heuristics, manual curator matching, and use of reconciliation adapters in tools like OpenRefine. Probabilistic record linkage methods have been applied in other domains to combine multiple weak signals (name similarity, dates, institutional provenance) into ranked candidate matches. Authority-file based linking (e.g., ULAN, VIAF, AAT) improves precision when identifiers exist but fails when identifiers are missing or deprecated. OpenRefine-style reconciliation is useful for ad hoc work but lacks scalable calibration, reproducible thresholds, and integrated provenance for batch edits. Existing community workflows for writing back to Wikidata often lack standardized provenance or conservative creation policies for new items, and they typically do not handle non-person agents, partial dates, or multilingual-script matching robustly. Limitations across methods include sensitivity to noisy or incomplete local data, weak handling of ambiguous common names, lack of explainable score-to-precision mapping, and limited automated QA or rollback controls.</w:t>
      </w:r>
    </w:p>
    <w:p>
      <w:r>
        <w:t xml:space="preserve"> </w:t>
      </w:r>
    </w:p>
    <w:p>
      <w:pPr>
        <w:pStyle w:val="Heading2"/>
      </w:pPr>
      <w:r>
        <w:t>Abstract</w:t>
      </w:r>
    </w:p>
    <w:p>
      <w:r>
        <w:t>We address the problem of creating a linked open index of museum constituents by reconciling Index of American Design collection records to Wikidata. The approach uses a reproducible pipeline that: normalizes heterogeneous local metadata, applies calibrated probabilistic entity reconciliation (combining name similarity, dates, institutional provenance, and other signals), produces ranked candidate matches with explainable scores, and records machine-readable provenance for each decision. The main contribution is an end-to-end, auditable workflow that balances high-precision automatic linking with human adjudication for ambiguous cases, includes formal decision rules for when to create new Wikidata items, and provides evaluation artifacts (stratified gold-standard labels, calibration plots) to justify thresholds. Expected outcomes are a substantial increase in high-confidence links between IAD records and Wikidata QIDs, publicly available provenance bundles for audit, and an operational blueprint (including adjudication UI and monitoring) that supports transparent, community-aligned edits to Wikidata.</w:t>
      </w:r>
    </w:p>
    <w:p>
      <w:r>
        <w:t xml:space="preserve"> </w:t>
      </w:r>
    </w:p>
    <w:p>
      <w:pPr>
        <w:pStyle w:val="Heading2"/>
      </w:pPr>
      <w:r>
        <w:t>Experiments</w:t>
      </w:r>
    </w:p>
    <w:p>
      <w:r>
        <w:t>Datasets: full Index of American Design exports (~thousands of records) split by institution; pilot subsets from 3–6 partner institutions; gold-standard labeled set of 3,000 record-entity pairs stratified by institution, entity type (creator, material, place), name commonality (common/rare), and date completeness (full/partial/missing). Baselines: (1) deterministic exact-match on normalized label + year, (2) OpenRefine reconciliation using default settings, (3) uncalibrated probabilistic linkage. Proposed method: calibrated Splink-based probabilistic linkage (Splink is a probabilistic linkage library that scores candidate pairs by multiple similarity features). Evaluation metrics: per-entity precision, recall, F1; overall automated-accept precision for auto-applied edits; Cohen's kappa for annotator agreement; calibration plots mapping model score to empirical precision; ROC and precision-recall curves. Experimental setup: normalize records to CSVW/JSON-LD, generate candidate blocks, compute features (Jaro-Winkler name similarity, token TF-IDF title overlap, numeric year difference, institution exact match, material token overlap, image-hash match), calibrate score→precision mapping using 1,000 labeled pairs (fixed random seed), set auto_accept threshold where empirical precision ≥0.95. Ablations: (A) remove birth_year feature, (B) remove institution provenance feature, (C) vary Jaro-Winkler thresholds at 0.90 and 0.95 for sensitivity analysis. Additional tests: simulate Wikidata edits against sandbox (test.wikidata.org) and execute rollback script; measure throughput (records/hour) on a pinned container. Report per-stratum metrics and sensitivity plots.</w:t>
      </w:r>
    </w:p>
    <w:p>
      <w:r>
        <w:t xml:space="preserve"> </w:t>
      </w:r>
    </w:p>
    <w:p>
      <w:pPr>
        <w:pStyle w:val="Heading2"/>
      </w:pPr>
      <w:r>
        <w:t>Risk Factors And Limitations</w:t>
      </w:r>
    </w:p>
    <w:p>
      <w:r>
        <w:t>Technical failure modes: ambiguous common names without dates may still produce false links; overfitting calibration to pilot institutions may reduce generalization to other collections. Data biases: uneven institutional coverage and rare strata may yield unstable estimates despite stratified sampling. Scalability: probabilistic linkage with complex features and PostgreSQL-backed blocking may be compute-intensive for very large corpora. Evaluation limits: manual labeling (3,000 records) may not cover all edge cases (non-person agents, vernacular names, script variants). Legal and privacy constraints: provenance URIs and run artifacts may expose sensitive donor or living-person data if not redacted; retention requirements may conflict across jurisdictions. Community acceptance risks: Wikidata community may reject creation policies or storage of certain qualifiers; bot edits require RFC and may be delayed. Reproducibility limits: differences in external authority ID resolution (deprecated IDs, merged records) may change outcomes over time.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