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semantic_prosody_translation_rwg</w:t>
      </w:r>
    </w:p>
    <w:p>
      <w:r>
        <w:t xml:space="preserve"> </w:t>
      </w:r>
    </w:p>
    <w:p>
      <w:pPr>
        <w:pStyle w:val="Heading2"/>
      </w:pPr>
      <w:r>
        <w:t>Title</w:t>
      </w:r>
    </w:p>
    <w:p>
      <w:r>
        <w:t>A corpus-based and critical-discourse analysis of how semantic prosody shapes translation choices of "considerably", "noticeably" and "resolutely" in China’s Report on the Work of the Government</w:t>
      </w:r>
    </w:p>
    <w:p>
      <w:r>
        <w:t xml:space="preserve"> </w:t>
      </w:r>
    </w:p>
    <w:p>
      <w:pPr>
        <w:pStyle w:val="Heading2"/>
      </w:pPr>
      <w:r>
        <w:t>Short Hypothesis</w:t>
      </w:r>
    </w:p>
    <w:p>
      <w:r>
        <w:t>Official English translations of China’s Report on the Work of the Government produce systematically stronger positive semantic prosody for the adverbs "considerably", "noticeably", and "resolutely" than their Chinese source usages, relative to media or alternative English renderings.</w:t>
      </w:r>
    </w:p>
    <w:p>
      <w:r>
        <w:t xml:space="preserve"> </w:t>
      </w:r>
    </w:p>
    <w:p>
      <w:pPr>
        <w:pStyle w:val="Heading2"/>
      </w:pPr>
      <w:r>
        <w:t>Related Work</w:t>
      </w:r>
    </w:p>
    <w:p>
      <w:r>
        <w:t>Existing work uses corpus-based methods and critical discourse analysis to study semantic prosody (the tendency of a word to appear with positive or negative contexts) and translation shifts. Approaches include monolingual corpus prosody profiling, bilingual corpus alignment to compare source and target choices, manual annotation of evaluative stance, and distributional embedding methods to measure contextual polarity. Limitations are: many studies use small or non-aligned bilingual samples so direct source→target comparisons are weak; annotation schemas vary and omit translation-strategy labels, reducing interpretability; cross-lingual embedding alignment is often ad hoc and not tested for downstream sensitivity; statistical analyses commonly ignore hierarchical structure (documents, years, lexemes, annotators) and thus risk inflated Type I error; reproducibility is limited by missing preregistration, sparse power analyses, and incomplete metadata handling in prior pipelines.</w:t>
      </w:r>
    </w:p>
    <w:p>
      <w:r>
        <w:t xml:space="preserve"> </w:t>
      </w:r>
    </w:p>
    <w:p>
      <w:pPr>
        <w:pStyle w:val="Heading2"/>
      </w:pPr>
      <w:r>
        <w:t>Abstract</w:t>
      </w:r>
    </w:p>
    <w:p>
      <w:r>
        <w:t>This project examines how semantic prosody influences vocabulary selection and translation of three adverbs—"considerably", "noticeably", and "resolutely"—in China’s Report on the Work of the Government. We use a bilingual corpus of official Chinese source texts and multiple English renderings, compare them to the British National Corpus as a general-English reference, and combine corpus-based translation studies with critical discourse analysis. The study operationalizes semantic prosody as a polarity label (positive/neutral/negative) with pragmatic-function and translation-strategy annotations, and integrates human annotation with contextualized multilingual embeddings to measure cross-lingual prosody transfer. Main contributions: a reproducible annotation schema and calibration set, preregistered statistical models for ordinal polarity and intensity, and empirical estimates of systematic prosodic shifts across translation variants. Expected outcome: quantifiable evidence about whether and how translations amplify or attenuate evaluative signals, producing interpretable measures that support discourse-level claims about voiced policy stance in translated government texts.</w:t>
      </w:r>
    </w:p>
    <w:p>
      <w:r>
        <w:t xml:space="preserve"> </w:t>
      </w:r>
    </w:p>
    <w:p>
      <w:pPr>
        <w:pStyle w:val="Heading2"/>
      </w:pPr>
      <w:r>
        <w:t>Experiments</w:t>
      </w:r>
    </w:p>
    <w:p>
      <w:r>
        <w:t>Datasets: (1) RWG corpus: official Chinese Reports on the Work of the Government (years 5-report pilot → 5 documents) with all available English renderings (official, media, press); (2) British National Corpus (BNC) subsample for reference frequency and collocate baselines. Extracted units: clause-level spans containing target lexemes 大幅/显著/较大 and their English renderings of "considerably","noticeably","resolutely". Sample size target: pilot 150–300 annotated source–target pairs; flag lexemes with &lt;10 occurrences. Preprocessing: OCR auto-accept cutoff 0.90 (flag below), sentence alignment confidence recorded. Annotation: dual independent annotation of polarity (categorical −1/0/+1), intensity (ordinal 1–5), pragmatic function, collocate class, syntactic span, and translation strategy; adjudication logged. Inter-annotator agreement metrics: Cohen’s κ (categorical), Krippendorff’s α (ordinal), token-level F1 for spans; preregistered thresholds κ≥0.70, α≥0.65. Baselines: (A) frequency-based polarity (collocate counts), (B) lexicon-based polarity mapping, (C) TF-IDF + logistic classifier, (D) embedding-based classifier (XLM-R fine-tuned). Cross-lingual features: aligned sentence embeddings via orthogonal Procrustes (primary) and two alternatives (VecMap and CSLS) for sensitivity. Model specifications (preregistered): (1) Ordinal polarity model: cumulative link mixed model (CLMM) polarity ~ translation_variant + strategy + year + (1|document) + (1|annotator) + (1|lexeme). (2) Intensity model: CLMM intensity ~ translation_variant + strategy + year + (1|document) + (1|annotator) + (1|lexeme). (3) Continuous aggregated polarity: linear mixed model aggregated_polarity ~ translation_variant + strategy + year + (1|document) + (1|annotator) + (1|lexeme). Statistical tests: paired Wilcoxon signed-rank and McNemar for source→target shifts; χ2 contingency for strategy×prosody; mixed-effects model p-values and estimated effect sizes (Cohen’s d, odds ratios). Evaluation metrics: per-class precision/recall/F1, macro F1, AUC, calibration (Brier score, calibration curve), and classifier confidence thresholds; report bootstrap 95% CIs. Validation: stratified 5-fold cross-validation, permutation label tests (null distribution), and calibration diagnostics. Ablation studies: (A) remove cross-lingual alignment (monolingual embedding features only), (B) remove translation_strategy features, (C) exclude embedding features (TF-IDF only). Report differences in effect estimates and classifier metrics across ablations. Power and sensitivity: simulation-based power lookup (ICC values 0.05/0.10/0.20) and threshold sensitivity sweeps for κ/OCR/model confidence; preregister final cutoffs based on stability criteria. Reporting: full reproducible notebooks, Docker image, and a calibration set of 10–20 exemplars per label.</w:t>
      </w:r>
    </w:p>
    <w:p>
      <w:r>
        <w:t xml:space="preserve"> </w:t>
      </w:r>
    </w:p>
    <w:p>
      <w:pPr>
        <w:pStyle w:val="Heading2"/>
      </w:pPr>
      <w:r>
        <w:t>Risk Factors And Limitations</w:t>
      </w:r>
    </w:p>
    <w:p>
      <w:r>
        <w:t>OCR and alignment errors may corrupt source–target pairs and reduce usable sample size. Low-frequency lexemes (&lt;10 occurrences) will limit quantitative claims and may require exclusion or qualitative treatment. Annotation disagreement and subjective boundary selection can lead to low IAA and reduce statistical power. Cross-lingual embedding alignment choices can cause divergent results; downstream metrics may be sensitive to alignment method. Hierarchical data structure (documents, years, lexemes, annotators) may require larger sample sizes than available to estimate random effects precisely. Class imbalance (e.g., many neutral vs few negative cases) can bias classifiers and significance tests. Political sensitivity of texts may constrain public data sharing and secondary analyses under data-use agreements. Computational costs for embedding extraction and fixed-seed reproducibility require GPU resources and careful logging; limited compute may slow iteration. The pilot scope limits detection to medium effect sizes and may not generalize across different genres or larger time spans.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