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wintergirls_figurative_semantics</w:t>
      </w:r>
    </w:p>
    <w:p>
      <w:r>
        <w:t xml:space="preserve"> </w:t>
      </w:r>
    </w:p>
    <w:p>
      <w:pPr>
        <w:pStyle w:val="Heading2"/>
      </w:pPr>
      <w:r>
        <w:t>Title</w:t>
      </w:r>
    </w:p>
    <w:p>
      <w:r>
        <w:t>A systematic computational and annotation study of figurative language in Laurie Halse Anderson's Wintergirls using span-level extraction and Leech's seven semantic types</w:t>
      </w:r>
    </w:p>
    <w:p>
      <w:r>
        <w:t xml:space="preserve"> </w:t>
      </w:r>
    </w:p>
    <w:p>
      <w:pPr>
        <w:pStyle w:val="Heading2"/>
      </w:pPr>
      <w:r>
        <w:t>Short Hypothesis</w:t>
      </w:r>
    </w:p>
    <w:p>
      <w:r>
        <w:t>Encoding overlapping figurative spans with a token-level multi-label BIO schema and mapping each span to Leech's seven types of meaning will yield higher per-device F1 and clearer semantic-function distinctions than single-label or sentence-level annotations.</w:t>
      </w:r>
    </w:p>
    <w:p>
      <w:r>
        <w:t xml:space="preserve"> </w:t>
      </w:r>
    </w:p>
    <w:p>
      <w:pPr>
        <w:pStyle w:val="Heading2"/>
      </w:pPr>
      <w:r>
        <w:t>Related Work</w:t>
      </w:r>
    </w:p>
    <w:p>
      <w:r>
        <w:t>Prior work in computational stylistics and figurative-language detection uses rule-based cues, lexical patterns, and supervised neural models to find metaphors, similes, and personification. Encoding strategies range from token BIO tagging (one label per token) to span extraction models; TEI/XML has been used for human-readable markup. Existing approaches struggle with overlapping or nested figurative spans, multi-label tokens (when one phrase expresses several devices or targets), and with linking devices to fine-grained semantic functions. Evaluation often reports span F1 without partial-credit for boundary mismatch and rarely uses multi-rater agreement measures adapted to overlapping multi-label data. Clinical and humanities studies annotate emotional and thematic function but do not systematically map to a formal semantic typology like Leech's seven meanings. Limitations include small annotated sets, inconsistent handling of overlap, lack of calibrated uncertainty estimates, and weak reproducibility artifacts for sensitive texts.</w:t>
      </w:r>
    </w:p>
    <w:p>
      <w:r>
        <w:t xml:space="preserve"> </w:t>
      </w:r>
    </w:p>
    <w:p>
      <w:pPr>
        <w:pStyle w:val="Heading2"/>
      </w:pPr>
      <w:r>
        <w:t>Abstract</w:t>
      </w:r>
    </w:p>
    <w:p>
      <w:r>
        <w:t>This project builds a reproducible corpus and computational pipeline to identify and classify figurative language in Laurie Halse Anderson's Wintergirls and to analyze each instance by Leech's seven types of meaning (e.g., conceptual, expressive). We create a token-span, multi-label BIO annotation layer that allows nested and overlapping spans, plus sentence/paragraph layers for narrative/clinical function. Using systematic random sampling of chapters, trained annotators and adjudication produce a versioned TEI gold standard. We evaluate rule-based prefilters, a span-extraction transformer (span-BERT), and a token-BERT+CRF multitask model for device, embodiment target, and semantic-type prediction. Evaluation uses IoU-weighted partial-credit span F1, Krippendorff's alpha adapted for multi-label spans, MASI set-overlap, and calibration metrics with stratified bootstrap confidence intervals. Contributions are: (1) an ethically governed annotated corpus with nested multi-label TEI and BIO-MUL examples; (2) concrete evaluation rules for overlapping spans; and (3) reproducible baselines and ablations that quantify gains from multi-label token encoding and semantic-type mapping. Expected outcome: clear, testable evidence that token-level multi-label encoding improves detection and semantic-function analysis of figurative language in sensitive narrative text.</w:t>
      </w:r>
    </w:p>
    <w:p>
      <w:r>
        <w:t xml:space="preserve"> </w:t>
      </w:r>
    </w:p>
    <w:p>
      <w:pPr>
        <w:pStyle w:val="Heading2"/>
      </w:pPr>
      <w:r>
        <w:t>Experiments</w:t>
      </w:r>
    </w:p>
    <w:p>
      <w:r>
        <w:t>Dataset: Full text of Wintergirls encoded in TEI; sample with systematic random sampling of chapters to produce ~200 annotated instances per device (targeting 6 primary devices → ~1,200 spans); annotation by 3 coders + 1 senior adjudicator; versioned gold TEI. Splits: chapter-level stratified splits (train 70%, dev 15%, test 15%) with 1-2 held-out chapters as final test to avoid leakage. Baselines: (A) lexical-rule prefilter (high-precision cue list + regex); (B) span-BERT span-extraction model (predicts start/end spans and labels); (C) token-BERT + CRF multitask model predicting BIO-MUL token labels for device and separate CRF for target and Leech-type tags. Technical details: use pretrained bert-base or span-BERT, lr=2e-5, batch size=16, epochs=5, seeds=[42, 2021, 7], GPU 16GB. Evaluation metrics: per-device and macro/micro F1 (span-level), IoU-weighted partial-credit F1 (IoU thresholds 0.50 lenient and 0.75 strict), Krippendorff's alpha adapted to multi-label spans (explained: measures agreement across raters on same units), MASI set-overlap for multi-label sets, Brier score and ECE for calibration. Confidence intervals: stratified chapter-level bootstrap with 1000 resamples. Ablations/Comparisons: (1) BIO-MUL vs single-label BIO: train token-BERT-CRF with multi-label tokens (pipe-concatenated) and compare to per-device single-label models; (2) with vs without lexical prefilter to measure precision/recall tradeoff; (3) span-extraction vs token-CRF comparison using Hungarian matching for one-to-one alignment and IoU-weighted scoring. Active learning study: compare uncertainty sampling (token-entropy) vs random sampling vs diversity (k-means on sentence embeddings) under a fixed annotation budget (e.g., 500 new spans); measure informational gain by increase in per-device F1. Reporting: per-device F1 with 95% CI, Krippendorff's alpha with CI, calibration plots, and error analysis on nested/overlap cases.</w:t>
      </w:r>
    </w:p>
    <w:p>
      <w:r>
        <w:t xml:space="preserve"> </w:t>
      </w:r>
    </w:p>
    <w:p>
      <w:pPr>
        <w:pStyle w:val="Heading2"/>
      </w:pPr>
      <w:r>
        <w:t>Risk Factors And Limitations</w:t>
      </w:r>
    </w:p>
    <w:p>
      <w:r>
        <w:t>Annotation bias and low prevalence: some figurative devices may be rare, causing class imbalance and unstable estimates. Nested/overlapping complexity: models may mis-handle fully overlapping multi-label spans, reducing F1. Small corpus/single-author scope: findings may not generalize beyond Wintergirls. Sensitive content: text contains clinical self-harm material that requires ethical gating; public exemplars must be redacted. Compute limits: span-extraction training can be memory intensive (GPU &gt;12GB recommended). Metric subtleties: Krippendorff's alpha unitization (token-grid vs candidate-span list) affects values and interpretability. Statistical power: cluster effects by chapter (ICC) can reduce effective sample size; sensitivity to assumed ICC must be acknowledged. Calibration and CI estimation: bootstrap by chapter assumes chapters are independent units, which may be imperfect. No mitigation strategies are included here.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