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sustainable_efl_course_rct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Cluster-randomized mixed-methods trial with integrated life-cycle assessment to evaluate sustainable course design for improving delayed retention in university EFL programs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Implementing a university EFL course redesigned with explicit sustainability-focused components causes at least a 0.25 standard-deviation improvement in 3-month delayed retention compared with standard courses and produces no more than 0.5 kgCO2e per 0.1 SD improvement.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Work on EFL and higher-education language instruction has produced validated short-form vocab tests, CAF scoring protocols (CAF = complexity, accuracy, fluency), and transfer-task designs, often using psychometric methods such as item response theory (IRT) for scale construction. Educational trials commonly use cluster-randomized designs to evaluate classroom interventions, and recent studies have applied mixed-effects models that account for clustering. Separately, life-cycle assessment (LCA) methods have been used to estimate environmental impacts of digital learning tools, and ethical/privacy frameworks for on-device data collection exist. Limitations across these streams include: (1) few studies jointly measure durable learning outcomes and per-unit environmental impact, (2) psychometric instruments for short, cross-language transfer tasks often lack robust cross-language calibration and DIF (differential item functioning) handling, (3) many trials under-report teacher burden and fidelity metrics, (4) LCA studies rarely allocate embodied device emissions per learning unit or propagate uncertainty from manufacturer data, and (5) data governance and on-device privacy practices are unevenly integrated with trial workflows. These gaps limit defensible decisions about scaling sustainable course designs.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whether university EFL (English as a Foreign Language) course design that specifies sustainability-aligned components can produce durable learning gains while controlling environmental cost. We propose a cluster-randomized mixed-methods trial comparing a sustainable-course package to standard instruction, combining psychometrically calibrated short assessments, transfer tasks scored on CAF (complexity, accuracy, fluency), and a learning-centered life-cycle assessment (LCA) that reports kgCO2e per 0.1 standard-deviation in 3-month delayed retention. Main contributions are: (1) an operational pilot→powered pipeline that integrates IRT calibration (2PL for vocab; GRM for rubrics), rater SOPs, and multilevel missing-data methods, and (2) a decision metric tying learning effect sizes to per-unit emissions with uncertainty propagation. Expected outcomes are an empirically grounded verdict on whether the sustainable course yields a ≥0.25 SD durable gain at acceptable carbon cost (≤0.5 kgCO2e/0.1 SD), plus open SOPs for measurement, privacy-preserving on-device logging, and LCA inventory templates to permit reproducible scaling decisions. Results will inform policy and procurement choices in higher-education language programs.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Recruit university EFL clusters (classes) in 3 countries/languages; aim for mean cluster size m=20 students. Pilot: ≥12 clusters total to estimate ICC (ICC = intra-class correlation, the share of variance between classes). Powered scenarios: if ICC≤0.05 then target 12–15 clusters/arm; ICC≈0.05–0.10 target 20–25 clusters/arm; model attrition 15% students, 10% cluster dropout. Arms: (A) full sustainable-course package; (B) learning-only package (same pedagogy without sustainability components); (C) sustainability-only module (sustainability content without redesigned pedagogy); (D) control (standard course). Baselines: current standard EFL syllabus as implemented locally. Instruments: vocabulary bank (8–12 items per CEFR band), transfer tasks (2–3 mini-scenarios: picture-prompt role-play, dialog completion, 60–90s story retell), CAF rubrics with 0–3 anchors. IRT calibration: use 2PL for dichotomous vocab items and GRM (graded response model) for polytomous rubric items; collect 200–500 responses per item for calibration (500+ preferred for cross-language DIF analysis). Primary metric: 3-month delayed retention (standardized score). Secondary metrics: immediate posttest, transfer task scores, CAF subindices (complexity, accuracy, fluency), teacher workload minutes, fidelity tick-box, and kgCO2e per 0.1 SD (LCA). LCA inventory: device make/model, session timestamps, battery % delta, MB uploaded, inference/API calls, print pages, teacher minutes, transport distances; propagate uncertainty via Monte Carlo sampling over manufacturer and grid-factor ranges. Analysis: primary test by intention-to-treat (ITT) using a mixed-effects model: y_ij = beta0 + beta1*treat_j + beta2*baseline_ij + u_j + e_ij, with u_j ~ N(0,tau^2) (cluster random intercept), e_ij ~ N(0,sigma^2); estimate via REML and report cluster-robust SEs. Covariates: baseline proficiency, age, SES proxy, language background, school fixed effects. Multiplicity: hierarchical testing (primary outcome first); Benjamini-Hochberg for exploratory secondary family. Missing data: multilevel multiple imputation (FCS) preserving cluster structure with m≥50 imputations. Rater procedures: two raters on 20–30% double-coded samples; rater certification required (ICC(2,k)≥0.75). Comparisons/ablations: (i) full vs learning-only (tests added value of sustainability components), (ii) full vs sustainability-only (tests pedagogy vs content), (iii) full with cloud inference vs full with on-device-only (ablation to quantify LCA impact of cloud). Qualitative: semi-structured interviews with ~20 instructors and ~40 students across sites to capture fidelity, burden, and perceived value. Pre-registration: SAP includes primary estimand, exact mixed model, MI plan, DIF criteria, and LCA functional unit (kgCO2e per 0.1 SD).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and psychometrics: transfer tasks and CAF rubrics may show cross-language noninvariance or DIF (items work differently by language), limiting comparability. IRT calibration needs 200–500 responses per item; smaller samples yield unstable item parameters. Statistical: high ICC (&gt;0.10) or higher-than-expected attrition will reduce power and may require many more clusters. LCA: manufacturer embodied-emission data and cloud-provider CPU-time logs may be missing or uncertain; uncertainty in these inputs will widen decision intervals. Privacy and consent: insufficient opt-in for raw audio may reduce CAF data quality; on-device extraction may fail on low-end devices. Operational: teacher turnover or low fidelity increases noise and reduces detectable effects. Scalability: device procurement and maintenance costs, and short device lifespans, can inflate per-unit emissions in scale-up. Generalization: results from selected universities/languages may not generalize to other educational levels, cultural contexts, or low-resource settings. Compute and logistics: Monte Carlo LCA and multilevel MI with large m are compute-intensive and require reproducible pipelines. Ethical/regulatory: local data-retention laws may force shorter or longer retention windows than planned, complicating harmonized governance. These limitations constrain inference and must be reported alongside primary results.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