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ethical_review_nonmedical_japan</w:t>
      </w:r>
    </w:p>
    <w:p>
      <w:r>
        <w:t xml:space="preserve"> </w:t>
      </w:r>
    </w:p>
    <w:p>
      <w:pPr>
        <w:pStyle w:val="Heading2"/>
      </w:pPr>
      <w:r>
        <w:t>Title</w:t>
      </w:r>
    </w:p>
    <w:p>
      <w:r>
        <w:t>A SCAT qualitative analysis of ethics-committee review comments to characterize ethical review practices for non-medical research in Japan</w:t>
      </w:r>
    </w:p>
    <w:p>
      <w:r>
        <w:t xml:space="preserve"> </w:t>
      </w:r>
    </w:p>
    <w:p>
      <w:pPr>
        <w:pStyle w:val="Heading2"/>
      </w:pPr>
      <w:r>
        <w:t>Short Hypothesis</w:t>
      </w:r>
    </w:p>
    <w:p>
      <w:r>
        <w:t>Applying the SCAT qualitative method to ethics-committee review comments will reveal that concerns about participant rights, research purpose, and data/privacy risk are more frequent and salient than methodological or procedural issues in non-medical research reviews in Japan.</w:t>
      </w:r>
    </w:p>
    <w:p>
      <w:r>
        <w:t xml:space="preserve"> </w:t>
      </w:r>
    </w:p>
    <w:p>
      <w:pPr>
        <w:pStyle w:val="Heading2"/>
      </w:pPr>
      <w:r>
        <w:t>Related Work</w:t>
      </w:r>
    </w:p>
    <w:p>
      <w:r>
        <w:t>Prior work on research ethics in Japan highlights strong emphasis on participant rights, research purpose, and risk management, but largely focuses on medical research or high-level policy. Existing analyses of non-medical ethics review are limited in scale and lack reproducible coding frameworks. Automated methods (topic models, keyword counts) capture surface themes but miss fine-grained reviewer reasoning. Privacy literature offers k-anonymity, l-diversity (simple rules to hide identifiers) and differential privacy (a mathematical noise-based privacy guarantee), but these have known limitations for free text, audio, and images: anonymization can break utility, and differential privacy is hard to apply to complex NLP embeddings. PII (personally identifiable information) detectors and obfuscation tools exist but are under-benchmarked on Japanese humanities data. Overall gaps: scarce large-scale empirical studies of committee text, weak validation of anonymization for humanities data, unclear operational decision rules, and limited benchmark corpora for Japanese non-medical datasets.</w:t>
      </w:r>
    </w:p>
    <w:p>
      <w:r>
        <w:t xml:space="preserve"> </w:t>
      </w:r>
    </w:p>
    <w:p>
      <w:pPr>
        <w:pStyle w:val="Heading2"/>
      </w:pPr>
      <w:r>
        <w:t>Abstract</w:t>
      </w:r>
    </w:p>
    <w:p>
      <w:r>
        <w:t>This study analyzes ethics-committee review comments on non-medical research proposals at Japanese institutions using the SCAT (Steps for Coding and Theorization) qualitative method to document how ethical review is actually performed and which considerations drive committee decisions. We will collect a multi-institution corpus of anonymized review comments and apply SCAT to derive coded themes, then quantify theme frequencies and their association with institutional type and decision outcomes. The main contribution is a reproducible mapping from reviewer language to operational ethics criteria (e.g., participant rights, research purpose, data/privacy risk) plus a set of concrete decision rules for anonymization and reviewer guidance tailored to humanities datasets. Expected outcomes include a validated codebook, measured prevalence of ethical themes, baseline metrics for committee consistency, and practical recommendations for anonymization thresholds and reviewer workflows to support harmonized non-medical ethics review in Japan.</w:t>
      </w:r>
    </w:p>
    <w:p>
      <w:r>
        <w:t xml:space="preserve"> </w:t>
      </w:r>
    </w:p>
    <w:p>
      <w:pPr>
        <w:pStyle w:val="Heading2"/>
      </w:pPr>
      <w:r>
        <w:t>Experiments</w:t>
      </w:r>
    </w:p>
    <w:p>
      <w:r>
        <w:t>Data sources: (1) Pilot corpus from 4–6 institutions: ~300–600 anonymized reviewer comments; (2) Full corpus from 60 institutions: target 3,000–6,000 anonymized comments from ~200 committee members and ~600 researcher submissions; (3) Benchmark sets for PII tools: public Japanese NER corpora, curated oral-history transcripts (consent provenance documented), and culturally appropriate image sets. Baselines: (A) manual thematic coding with open coding; (B) automated topic modeling (LDA) and keyword-frequency; (C) PII-detection pipelines (Presidio/scrubadub equivalents) without SCAT. Method: two independent coders apply SCAT to a stratified sample; resolve disagreements and produce a final codebook. Quantitative tests: compute theme prevalence and test differences by institution type using mixed-effects logistic regression with institution random intercepts. Inter-rater reliability: Cohen's kappa per code. Consistency metric: proportion agreement on vignette-based decisions. Anonymization experiments: apply k-anonymity and l-diversity thresholds to tabular metadata and measure success rate; apply differential privacy mechanisms with ε in {0.5,1,2} and report utility metrics. Privacy/utility metrics: topic coherence (for text), classification accuracy on downstream labeled tasks, and empirical re-identification rate via simulated linkage attacks. Ablation: SCAT-only vs SCAT+automated PII detection vs automated-only; report changes in theme detection recall/precision and downstream classification performance. Statistical thresholds: report 95% confidence intervals and p-values; preregister analytic models and stopping rules.</w:t>
      </w:r>
    </w:p>
    <w:p>
      <w:r>
        <w:t xml:space="preserve"> </w:t>
      </w:r>
    </w:p>
    <w:p>
      <w:pPr>
        <w:pStyle w:val="Heading2"/>
      </w:pPr>
      <w:r>
        <w:t>Risk Factors And Limitations</w:t>
      </w:r>
    </w:p>
    <w:p>
      <w:r>
        <w:t>Subjectivity in SCAT coding may produce inter-rater variability and limit reproducibility. Available review comments may be sparse, biased toward certain institutions, or legally restricted by APPI, reducing representativeness. Text and audio anonymization can fail for indirect identifiers and stylistic fingerprints; differential privacy may reduce analytic utility for qualitative tasks. Benchmark datasets for Japanese humanities data may be limited or have restrictive reuse terms. Simulated re-identification attacks may underestimate real adversaries with external data. Scaling secure enclaves and DP computations may require significant compute and cost. Findings may not generalize outside Japanese non-medical contexts or to privately held corporate review comments that remain inaccessible.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