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it_intellectual_security_jordan</w:t>
      </w:r>
    </w:p>
    <w:p>
      <w:r>
        <w:t xml:space="preserve"> </w:t>
      </w:r>
    </w:p>
    <w:p>
      <w:pPr>
        <w:pStyle w:val="Heading2"/>
      </w:pPr>
      <w:r>
        <w:t>Title</w:t>
      </w:r>
    </w:p>
    <w:p>
      <w:r>
        <w:t>Evaluating the causal effect of institutional information-technology measures on university students' intellectual security using survey and pilot deployment data</w:t>
      </w:r>
    </w:p>
    <w:p>
      <w:r>
        <w:t xml:space="preserve"> </w:t>
      </w:r>
    </w:p>
    <w:p>
      <w:pPr>
        <w:pStyle w:val="Heading2"/>
      </w:pPr>
      <w:r>
        <w:t>Short Hypothesis</w:t>
      </w:r>
    </w:p>
    <w:p>
      <w:r>
        <w:t>Exposure to institutional information-technology measures (single sign-on, adaptive multi-factor authentication, provenance capture, or structured IT training) increases university students' intellectual security scores by at least 0.3 standard deviations, controlling for gender, academic specialization, and academic level.</w:t>
      </w:r>
    </w:p>
    <w:p>
      <w:r>
        <w:t xml:space="preserve"> </w:t>
      </w:r>
    </w:p>
    <w:p>
      <w:pPr>
        <w:pStyle w:val="Heading2"/>
      </w:pPr>
      <w:r>
        <w:t>Related Work</w:t>
      </w:r>
    </w:p>
    <w:p>
      <w:r>
        <w:t>Prior work has measured digital literacy, educational-technology interventions, and academic-integrity outcomes using surveys, administrative records, and detection tools. Existing approaches fall into three classes: (1) self-report surveys of digital skills and attitudes, (2) technical deployments of IAM (identity and access management), provenance, and automated detectors for plagiarism/cheating, and (3) mixed-method pilots combining training with technical controls. Limitations across these approaches include reliance on self-reported outcomes that bias effect estimates, weak causal inference when deployments lack control groups, limited cross-discipline comparisons, small or single-site samples, sparse reporting of privacy-preserving analytics, and few studies that jointly measure human factors (usability, workload) with technical KPIs (time-to-detect, containment). Detection systems often omit provenance metadata and fairness analyses, and pilots rarely publish reproducible power analyses or DP (differential privacy) accounting. These gaps motivate a combined survey + controlled pilot study with reproducible analysis and privacy-aware reporting.</w:t>
      </w:r>
    </w:p>
    <w:p>
      <w:r>
        <w:t xml:space="preserve"> </w:t>
      </w:r>
    </w:p>
    <w:p>
      <w:pPr>
        <w:pStyle w:val="Heading2"/>
      </w:pPr>
      <w:r>
        <w:t>Abstract</w:t>
      </w:r>
    </w:p>
    <w:p>
      <w:r>
        <w:t>This study tests whether institutional information-technology (IT) measures improve intellectual security among university students. Intellectual security is measured with a validated 35-item survey producing a continuous score. We combine cross-sectional survey data from 640 Jordanian students with pilot deployment metadata from 2–3 departments (SSO/MFA, provenance capture, telemetry). The approach uses pre-registered statistical models and controlled comparisons: linear mixed-effects models to estimate causal associations while accounting for department clustering, and quasi-experimental comparisons across units with differing IT exposure. Main contributions are (1) an empirically grounded estimate of IT measures' effect on intellectual security controlling for gender, discipline, and academic level; (2) an open, reproducible analysis pipeline including power scripts, model specifications, and DP-calibrated aggregate reporting; and (3) subgroup and fairness analyses that report differential effects by gender and field. Expected outcomes are quantified effect estimates, model-based prediction performance, and concrete policy-relevant thresholds for adopting IT controls in academic settings.</w:t>
      </w:r>
    </w:p>
    <w:p>
      <w:r>
        <w:t xml:space="preserve"> </w:t>
      </w:r>
    </w:p>
    <w:p>
      <w:pPr>
        <w:pStyle w:val="Heading2"/>
      </w:pPr>
      <w:r>
        <w:t>Experiments</w:t>
      </w:r>
    </w:p>
    <w:p>
      <w:r>
        <w:t>Datasets: (A) Primary: 640 student responses to a validated 35-item intellectual-security survey (continuous total score and subscales), with metadata: gender, academic specialization (discipline), academic level (undergrad/grad/year), prior IT training, and self-reported use of institutional IT tools. (B) Pilot telemetry: per-department aggregated telemetry (SSO adoption rate, adaptive-MFA coverage, provenance-captured submissions) and controlled-simulation logs (simulated incidents per department, time-to-detect, time-to-respond). (C) Annotated artifacts for detector baselines if needed (provenance anomalies, plagiarism examples). Baselines: (1) demographics-only linear model, (2) demographics + IT exposure linear model, (3) survey-subscales only, (4) predictive baselines: logistic regression, random forest, and XGBoost for binary high-security outcome (top quartile). Models: primary analysis uses linear mixed-effects model with department random intercepts (a regression that accounts for grouped data). Model A: score ~ gender + specialization + academic_level + (1|department). Model B: Model A + IT_exposure_variables (SSO_adopt, MFA_adopt, provenance_rate, IT_training_hours). Model C: Model B + interaction terms (IT_exposure * gender, IT_exposure * specialization). For binary outcome use mixed-effects logistic regression. Evaluation metrics: regression coefficients with 95% CI and p-values, marginal and conditional R^2, AIC/BIC, Cohen's d for group differences, Benjamini-Hochberg corrected p-values, classification AUC, precision@k, recall, and calibration error. Cross-validation: stratified 5-fold cross-validation with department folds preserved for predictive models. Ablation/comparison: compare Model B vs Model A to measure added explained variance (ΔR^2) and change in AIC; ablate provenance_rate variable to measure its unique contribution (ΔR^2 and ΔAIC). Subgroup analysis: estimate group-specific effects and test interaction significance; report per-group coefficients and Cohen's d with 95% CI. Power and pre-registration: include pre-registered power scripts (R/Python) and report detectable standardized effect sizes; with N=640, two-sided alpha=0.05, study targets ~80% power to detect standardized effects near d≈0.22 for balanced two-group comparisons. Privacy &amp; reporting: aggregate telemetry published only if k-anonymity k≥10 and differential privacy applied using central Gaussian/Laplace mechanisms with reported epsilon values and composition accounting (advanced composition or Rényi DP), with utility vs epsilon plots included. All analysis scripts, seeds, container images, and dataset version metadata (W3C PROV fields) will be published to reproduce results.</w:t>
      </w:r>
    </w:p>
    <w:p>
      <w:r>
        <w:t xml:space="preserve"> </w:t>
      </w:r>
    </w:p>
    <w:p>
      <w:pPr>
        <w:pStyle w:val="Heading2"/>
      </w:pPr>
      <w:r>
        <w:t>Risk Factors And Limitations</w:t>
      </w:r>
    </w:p>
    <w:p>
      <w:r>
        <w:t>Self-report bias: survey responses may misstate behavior or knowledge. Confounding: non-random IT exposure (departments that adopt IT may differ in unobserved ways) limits causal claims. Small subgroup sizes: some gender/specialization cells may be underpowered for interaction tests. Measurement error: telemetry aggregated to protect privacy may lose signal for individual-level inference. Differential privacy noise: DP added to small cohorts can bias medians and reduce ability to detect small effects. Detector-label quality: annotation disagreement can lower model reliability (IAA may fall below target). Generalization: findings from Jordanian universities and chosen departments may not generalize to other countries or institution types. Technical scalability: multi-modal detection or large-scale provenance capture may require GPU/compute beyond budgets. Legal/ethics constraints: IRB or FERPA/GDPR limits may restrict adversarial injections or data sharing. Operational risk: automated containment actions can cause service disruption if false positives occur. No mitigations are proposed here; these are constraints to report when evaluating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