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risk_homogeneity_systemic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Text-mining identification of the causal effect of corporate risk-perception homogeneity on systemic financial risk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 increase in sector-level homogeneity of firms' text-derived risk perceptions causes a subsequent rise in systemic financial risk as measured by SRISK and CoVaR.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extract firm risk signals from disclosures using lexicons, topic models (e.g., LDA), or simple sentiment classifiers, and study systemic risk with market-based indicators (SRISK, CoVaR, MES) and network contagion models. Identification has relied on event studies, DiD, or IVs in isolated cases. Limitations: lexicon and basic topic models miss nuanced, contextual risk language; many studies do not quantify or propagate measurement error from text into causal estimates; network contagion work often treats exposure matrices as exogenous and does not address endogeneity of information links; instrument exclusion arguments are frequently informal and weak-instrument robustness is underused; reproducibility is limited by proprietary data and missing pre-registered analysis of network parameter sensitivity. These gaps leave unresolved whether observed correlations reflect causal transmission from aligned perceptions to system-wide vulnerability rather than common shocks or measurement bias.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synchronized corporate risk narratives amplify systemic financial risk. We extract firm-date risk perceptions from public disclosures using contextual text representations and supervised risk-salience models, then compute sector- and time-level homogeneity metrics. We estimate the causal effect of homogeneity on systemic outcomes with staggered difference-in-differences, instrumental-variables, and local-projection impulse responses, and we evaluate transmission using a multiplex contagion model that mixes balance-sheet exposures with information-diffusion weights. Main contributions are: validated, time-resolved homogeneity measures with explicit uncertainty; pre-registered identification strategies and sensitivity bounds for instrument validity and network endogeneity; and a reproducible public-data proof-of-concept. Expected outcome: credible evidence on whether increases in aligned corporate risk perceptions raise SRISK and CoVaR, plus calibrated network parameters showing how information alignment interacts with balance-sheet linkages. Results will inform whether monitoring perception homogeneity provides an actionable early-warning signal for regulators.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Text: EDGAR 10-K/10-Q risk-factor sections and public earnings-call transcripts; (2) Market: CRSP/Compustat returns and accounting, CDS spreads or proxy CDS series, analyst forecast dispersion; (3) Systemic measures: computed SRISK, CoVaR, MES time series; (4) Exposures: regulatory bilateral reports (where available) and a balance-sheet–constrained synthetic exposure network for public-data tests. Baselines: (A) lexicon-based risk scores (simple counts), (B) LDA topic-model similarity aggregated to homogeneity, (C) market-implied dispersion alone. Main estimands and methods: (1) ATT from staggered DiD using Callaway–Sant’Anna with firm and calendar fixed effects, two-way clustering, and event-study pre-trends; (2) 2SLS IV estimates with first-stage diagnostics (F-statistic) and weak-IV robust CIs (LIML and Anderson–Rubin); (3) Local-projection IRFs for horizons h=0..12 months with bootstrap CIs; (4) Reduced-form contagion regressions Loss_it = β · Homog_st + λ · Σ_j W_ij Loss_jt + controls. Evaluation metrics: causal estimates (point estimate and 95% CI), first-stage F, overidentification p-values, IRF peak and cumulative response, out-of-sample predictive R^2 for systemic measures, correlation and AUC for classifier outputs vs. annotated gold set. Ablations: compare full transformer+supervised fusion vs. (i) transformer-only topic weights, (ii) LDA, (iii) lexicon; measure how causal estimates and standard errors change when (a) dropping supervised uncertainty signals, (b) using lagged vs. contemporaneous W matrices, and (c) varying θ mixing parameter over a pre-registered grid. Pre-registered robustness: placebo outcomes, permutation of treatment dates, Rosenbaum Γ sensitivity grid, Oster Δ selection-bias grid, and power/MDE tables from pilot Monte Carlo using observed panel variance and clustering.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Measurement error: text models may misclassify risk language or drift over time; errors can bias estimates if not propagated. 2) Instrument validity: proposed instruments (disclosure rollouts, vendor outages) may violate exclusion if they affect outcomes through other channels. 3) Network endogeneity: W matrices combining exposures and topic similarity may be endogenous to shocks, limiting identifiability of contagion parameters. 4) Data gaps: bilateral exposure data are often proprietary or incomplete; synthetic networks may not capture real connectivity. 5) Event scarcity: few credible exogenous events may limit statistical power for IV or DiD. 6) Multiple testing: many event-study leads/lags and subgroup tests increase false-discovery risk. 7) Scalability: transformer-based models and large text corpora require substantial compute and storage. 8) External validity: results derived from U.S. filings and markets may not generalize to other jurisdictions or less-transparent firms. 9) Policy translation limits: calibrated contagion parameters depend on model choices and may not map directly to supervisory thresholds.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