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repair_initiation_ghana_ca</w:t>
      </w:r>
    </w:p>
    <w:p>
      <w:r>
        <w:t xml:space="preserve"> </w:t>
      </w:r>
    </w:p>
    <w:p>
      <w:pPr>
        <w:pStyle w:val="Heading2"/>
      </w:pPr>
      <w:r>
        <w:t>Title</w:t>
      </w:r>
    </w:p>
    <w:p>
      <w:r>
        <w:t>Conversation-analytic and multimodal investigation of repair initiation effects on immediate uptake in Ghanaian ESL classrooms</w:t>
      </w:r>
    </w:p>
    <w:p>
      <w:r>
        <w:t xml:space="preserve"> </w:t>
      </w:r>
    </w:p>
    <w:p>
      <w:pPr>
        <w:pStyle w:val="Heading2"/>
      </w:pPr>
      <w:r>
        <w:t>Short Hypothesis</w:t>
      </w:r>
    </w:p>
    <w:p>
      <w:r>
        <w:t>Repair initiations that include salient multimodal cues (prosodic emphasis, gaze shift, or deictic gesture) increase the probability of immediate uptake (recipient produces a relevant uptake within 3 seconds or two turns) compared with repair initiations lacking these cues.</w:t>
      </w:r>
    </w:p>
    <w:p>
      <w:r>
        <w:t xml:space="preserve"> </w:t>
      </w:r>
    </w:p>
    <w:p>
      <w:pPr>
        <w:pStyle w:val="Heading2"/>
      </w:pPr>
      <w:r>
        <w:t>Related Work</w:t>
      </w:r>
    </w:p>
    <w:p>
      <w:r>
        <w:t>Conversation analysis (CA) studies of classroom repair have documented how participants signal trouble and attempt resolution using verbal formats (open vs restricted repair) and embodied cues (gaze, gesture, prosody). Recent work has begun to extract multimodal signals automatically (pose, gaze proxies, prosody), and to quantify uptake outcomes. Limitations in current approaches include small or convenience samples, limited multimodal validation (automatic features often unvalidated on L2/accented speech), inconsistent timestamping and reliability procedures, weak preregistered power planning, and under-specified privacy/de-identification protocols. Many studies focus on description rather than reproducible, preregistered effect estimates; others collapse rare repair types without formal rules, reducing ability to analyze low-frequency but theoretically important events.</w:t>
      </w:r>
    </w:p>
    <w:p>
      <w:r>
        <w:t xml:space="preserve"> </w:t>
      </w:r>
    </w:p>
    <w:p>
      <w:pPr>
        <w:pStyle w:val="Heading2"/>
      </w:pPr>
      <w:r>
        <w:t>Abstract</w:t>
      </w:r>
    </w:p>
    <w:p>
      <w:r>
        <w:t>This study examines how repair-initiation practices in Ghanaian ESL classrooms shape immediate uptake, using a conversation-analytic (CA) protocol combined with validated multimodal feature extraction. We analyze 52 hours of classroom recordings with Jefferson-aligned transcription and a reproducible codebook, linking repair-initiation formats and embodied cues to uptake within a pre-specified 3-second / two-turn window. Main contributions are: (1) a preregistered CA-led protocol for coding repair initiation with precise timestamp rules; (2) a multimodal validation pipeline that reports agreement between human CA coding and automatic prosody/gaze/gesture measures; and (3) multilevel statistical tests that quantify how repair types and multimodal cues predict immediate uptake and short-term accuracy. Expected outcomes include reproducible effect estimates for repair formats and multimodal signals, documented limits of automatic extraction on L2 speech, and a resource package (transcription templates, codebook, validation results) to support replication and teacher-facing interpretation.</w:t>
      </w:r>
    </w:p>
    <w:p>
      <w:r>
        <w:t xml:space="preserve"> </w:t>
      </w:r>
    </w:p>
    <w:p>
      <w:pPr>
        <w:pStyle w:val="Heading2"/>
      </w:pPr>
      <w:r>
        <w:t>Experiments</w:t>
      </w:r>
    </w:p>
    <w:p>
      <w:r>
        <w:t>Datasets: primary corpus = 52 hours of Ghanaian ESL classroom recordings (focal learners annotated); pilot corpus = first 8–12 hours used to estimate ICCs and event rates. Sampling: target inferential sample = 150–250 learners across 12–20 classrooms informed by pilot ICCs; report power curves for alternative ICCs and cluster sizes. Annotation: Jefferson-aligned ELAN transcripts; double-code 20% purposive sample (increase to 40–50% for rare/ambiguous categories). Baselines: (A) null model with covariates only, (B) repair-type-only mixed model, (C) multimodal model adding prosody/gaze/gesture features, (D) human-coded-only model. Automatic-extraction baselines: raw ASR/prosody/gaze outputs vs human-corrected versions. Models and evaluation: primary outcome = binary immediate uptake within 3s/2-turns. Use multilevel mixed-effects logistic regression (random intercepts for learner and classroom; test random slopes for repair type). Secondary outcomes: ordinal uptake quality (0,1,2) via mixed ordinal models; latency via shared-frailty Cox models (frailty = random effect; time-to-event = seconds). Validation of automated features: holdout 20–25% validation set; metrics: categorical precision/recall/F1 (target &gt;=0.80), continuous MAE and MAPE (target &lt;=15%). Annotation reliability: Cohen's kappa (target &gt;=0.70) and ICC for timing (target &gt;=0.80). Cross-validation: 5–10 fold CV plus 20% external holdout for predictive models. Ablations: compare full multimodal model to models removing prosody, gaze, and gesture singly and jointly; compare models using automatic features vs human-corrected features. ASR benchmarks: report WER stratified by L1 and proficiency. Sensitivity analyses: repeat primary tests across windows {1s/1-turn,2s/1-turn,3s/2-turn,5s/3-turns} and timestamp tolerances {±0.25s, ±0.5s, ±1.0s}. Power reporting: for each hypothesis, preregister unit of analysis (event vs learner vs class), minimum N for primary, secondary, and pooled rare-category tests under alternative ICC scenarios.</w:t>
      </w:r>
    </w:p>
    <w:p>
      <w:r>
        <w:t xml:space="preserve"> </w:t>
      </w:r>
    </w:p>
    <w:p>
      <w:pPr>
        <w:pStyle w:val="Heading2"/>
      </w:pPr>
      <w:r>
        <w:t>Risk Factors And Limitations</w:t>
      </w:r>
    </w:p>
    <w:p>
      <w:r>
        <w:t>Power and sampling realism: pilot ICCs or event rates may show larger clustering or lower event rates than assumed, reducing power for secondary and rare-outcome tests. Annotation class imbalance: rare repair types may remain under-represented despite oversampling; collapsing categories will be required and will limit fine-grained claims. ASR and automatic-feature validity: ASR and prosody tools perform worse on accented, code-switched, or disfluent L2 speech; automatic measures may be biased by L1/proficiency and become unusable for some analyses. Privacy and re-identification: minimal pitch shifts (PSOLA) and face blurring may not fully prevent re-identification; legal/regulatory constraints for minors may restrict data sharing. Statistical/multiplicity risk: many sensitivity analyses and interactions increase false-positive risk without strict multiplicity correction. Dependence and causal limits: repeated events per learner/classroom create complex dependence and potential time-varying confounding; observational design limits causal claims. Reliability and drift: maintaining high inter-rater reliability over long coding periods is labor intensive and may fail. Compute and storage: multimodal extraction and storage of high-resolution AV data require large compute and secure storage budgets, which may constrain scaling. Generalization: findings from Ghanaian classrooms may not generalize to other educational, linguistic, or cultural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