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military_boards_audit_quality_pakistan</w:t>
      </w:r>
    </w:p>
    <w:p>
      <w:r>
        <w:t xml:space="preserve"> </w:t>
      </w:r>
    </w:p>
    <w:p>
      <w:pPr>
        <w:pStyle w:val="Heading2"/>
      </w:pPr>
      <w:r>
        <w:t>Title</w:t>
      </w:r>
    </w:p>
    <w:p>
      <w:r>
        <w:t>Staggered-difference-in-differences and instrumental-variables analysis of military-experienced directors' effects on earnings management and audit quality in Pakistani non-financial firms</w:t>
      </w:r>
    </w:p>
    <w:p>
      <w:r>
        <w:t xml:space="preserve"> </w:t>
      </w:r>
    </w:p>
    <w:p>
      <w:pPr>
        <w:pStyle w:val="Heading2"/>
      </w:pPr>
      <w:r>
        <w:t>Short Hypothesis</w:t>
      </w:r>
    </w:p>
    <w:p>
      <w:r>
        <w:t>Appointment of military-experienced directors to a firm's board causes a reduction in both accrual-based and real earnings management, and this reduction is larger for firms audited by higher-quality auditors.</w:t>
      </w:r>
    </w:p>
    <w:p>
      <w:r>
        <w:t xml:space="preserve"> </w:t>
      </w:r>
    </w:p>
    <w:p>
      <w:pPr>
        <w:pStyle w:val="Heading2"/>
      </w:pPr>
      <w:r>
        <w:t>Related Work</w:t>
      </w:r>
    </w:p>
    <w:p>
      <w:r>
        <w:t>Prior work finds correlations between directors' military experience and improved audit outcomes or lower earnings manipulation. Common approaches use cross-sectional regressions, simple difference-in-differences with pooled post indicators, or basic IVs. Limitations include biased estimates from two-way fixed effects when treatment timing varies, weak or poorly defended instruments, limited measurement validation for director military status (leading to misclassification), sparse mediation analysis of channels (auditor choice, fees, audit-committee activity), inadequate sensitivity checks for unobserved confounding, insufficient power calculations, and weak handling of spillovers or network appointment effects. Existing studies often lack reproducible ETL/codebooks and do not report inter-coder reliability or misclassification bounds.</w:t>
      </w:r>
    </w:p>
    <w:p>
      <w:r>
        <w:t xml:space="preserve"> </w:t>
      </w:r>
    </w:p>
    <w:p>
      <w:pPr>
        <w:pStyle w:val="Heading2"/>
      </w:pPr>
      <w:r>
        <w:t>Abstract</w:t>
      </w:r>
    </w:p>
    <w:p>
      <w:r>
        <w:t>This study examines whether military-experienced directors on corporate boards causally reduce accrual-based and real earnings management in non-financial firms listed on the Pakistan Stock Exchange (2010–2022), and whether audit quality moderates that effect. We combine modern staggered-difference-in-differences estimators (which recover year-by-year group-time average treatment effects) with an instrumental-variables strategy using lagged regional veteran density, proximity to military academies, and base-closure shocks as supply-side instruments. Measurement is improved through automated name-matching plus human adjudication and double-coding to report inter-coder reliability and simulate misclassification bias. We quantify mediation through auditor choice and audit fees using causal mediation tools and IV-based mediation when feasible. Main contributions are stronger causal identification under staggered adoption, a validated director-year dataset, explicit mediation decomposition, and a reproducible pipeline with power/MDE tables and sensitivity bounds. Expected outcome: credible estimates of how military directors influence audit quality and earnings management, informing governance policy in emerging markets.</w:t>
      </w:r>
    </w:p>
    <w:p>
      <w:r>
        <w:t xml:space="preserve"> </w:t>
      </w:r>
    </w:p>
    <w:p>
      <w:pPr>
        <w:pStyle w:val="Heading2"/>
      </w:pPr>
      <w:r>
        <w:t>Experiments</w:t>
      </w:r>
    </w:p>
    <w:p>
      <w:r>
        <w:t>Datasets: firm-year panel for non-financial firms listed on Pakistan Stock Exchange (2010–2022) including audited financials, audit fees, auditor identity, audit committee composition, director biographies (director-year file), regional veteran density (by district/year), military academy locations, BRAC/base-closure event dates, restatements and firm covariates (size, leverage, ROA, industry codes). Preprocessing: automated fuzzy name matching (Levenshtein) with manual adjudication; double-code 15–20% random sample to compute Cohen's kappa for binary AnyVeteran and intraclass correlation (ICC) for RankIntensity. Primary estimators: Callaway &amp; Sant’Anna staggered-DID and Sun &amp; Abraham event-study (both recover group-time ATT and year-specific leads/lags). Baselines: pooled TWFE DID, propensity-score matched OLS, standard 2SLS IV, and cross-sectional OLS. Weak-IV alternatives: LIML, Fuller, jackknife IV, and Anderson–Rubin (AR) confidence intervals. Mediation: Imai-style causal mediation and IV-based mediation where a valid mediator instrument exists; dose-response via local IV / marginal treatment effect for RankIntensity. Evaluation metrics: coefficient point estimates and clustered SEs, wild-cluster bootstrap p-values, first-stage F-statistic and partial R2, Hansen J p-value, event-study lead F-tests (joint pre-trend), absolute discretionary accruals (modified Jones residuals), real activities manipulation composite (sales, production, cash flow measures), probability of Big Four auditor, audit fees (log), proportion mediated (ACME/ADE), Cohen's kappa and ICC, MDE and power tables (80% power, two-sided alpha=0.05), Rosenbaum bounds and Oster delta for selection. Experimental setup: pre-register event window (leads -3 to -1, lags 1 to 5), cluster primary inference at the firm level and report firm×year and industry×year robustness, run misclassification simulations (0–20% false pos/neg) and present bias-adjusted estimates, ablation studies: (1) drop IV and compare to 2SLS, (2) replace 2SLS by LIML/Fuller, (3) remove measurement correction, (4) vary RankIntensity weighting schemes, (5) exclude politically prominent veterans, (6) spatial spillover tests excluding firms within 50km and 200km radii. Additional checks: synthetic-control for cohorts with few treated firms, placebo tests using pre-treatment outcomes, and power-driven grouping of cohorts if MDE thresholds not met.</w:t>
      </w:r>
    </w:p>
    <w:p>
      <w:r>
        <w:t xml:space="preserve"> </w:t>
      </w:r>
    </w:p>
    <w:p>
      <w:pPr>
        <w:pStyle w:val="Heading2"/>
      </w:pPr>
      <w:r>
        <w:t>Risk Factors And Limitations</w:t>
      </w:r>
    </w:p>
    <w:p>
      <w:r>
        <w:t>Weak instruments: BRAC or veteran-density instruments may have low relevance or violate exclusion, producing weak-IV bias. Measurement error: automated matching and biography gaps can misclassify veteran status; misclassification attenuates estimates. Limited treated counts: few treated firms or short post-periods reduce power and precision. Staggered-adoption complications: heterogeneous treatment effects can bias TWFE; event-study estimates may be noisy for small cohorts. Spillovers and SUTVA violations: appointments may affect nearby firms or firms in the same network, breaking the no-interference assumption. Unobserved confounding: time-varying unobservables may bias causal claims despite DID and IV attempts. Mediation limits: sequential ignorability may fail, making ACME/ADE estimates sensitive to unmeasured mediator confounders. Attrition and missing data: incomplete director histories or missing audit-fee records can bias samples. Generalizability: results from Pakistan may not transfer to other regulatory or audit-market contexts. Privacy and reproducibility: personnel PII restricts full public release; synthetic datasets may not capture all micro-patterns. Computational cost: wild-cluster bootstrap, large simulations, and many robustness checks increase compute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