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saudi_teachers_21cs_integration</w:t>
      </w:r>
    </w:p>
    <w:p>
      <w:r>
        <w:t xml:space="preserve"> </w:t>
      </w:r>
    </w:p>
    <w:p>
      <w:pPr>
        <w:pStyle w:val="Heading2"/>
      </w:pPr>
      <w:r>
        <w:t>Title</w:t>
      </w:r>
    </w:p>
    <w:p>
      <w:r>
        <w:t>A sequential exploratory mixed-methods evaluation of English and mathematics teachers' integration of 21st-century skills in Saudi classrooms</w:t>
      </w:r>
    </w:p>
    <w:p>
      <w:r>
        <w:t xml:space="preserve"> </w:t>
      </w:r>
    </w:p>
    <w:p>
      <w:pPr>
        <w:pStyle w:val="Heading2"/>
      </w:pPr>
      <w:r>
        <w:t>Short Hypothesis</w:t>
      </w:r>
    </w:p>
    <w:p>
      <w:r>
        <w:t>Teachers who receive the targeted professional development will increase their observed integration of 21st-century skills (creativity, collaboration, critical thinking, communication) in classroom instruction more than teachers who do not receive the professional development.</w:t>
      </w:r>
    </w:p>
    <w:p>
      <w:r>
        <w:t xml:space="preserve"> </w:t>
      </w:r>
    </w:p>
    <w:p>
      <w:pPr>
        <w:pStyle w:val="Heading2"/>
      </w:pPr>
      <w:r>
        <w:t>Related Work</w:t>
      </w:r>
    </w:p>
    <w:p>
      <w:r>
        <w:t>Prior work shows many teachers in Saudi Arabia and similar contexts face structural and perceptual barriers to integrating 21st-century skills; studies also document rapid changes in digital technology use and varied teacher beliefs. Existing approaches rely heavily on self-report surveys, small qualitative studies, or single-method designs. Limitations include a lack of validated observation instruments tied to student outcomes, sparse use of multilevel or mediation models that account for observations nested in teachers and schools, limited reporting of rater variance and reliability, and insufficient DIF/invariance testing across language and gender-segregated contexts. Few studies pre-register analytic rules (e.g., priors, rater models) or run full Monte Carlo power simulations for clustered mediation designs. As a result, evidence about causal links from PD to teacher practice and to student task performance, and about which barriers are most consequential, remains inconclusive.</w:t>
      </w:r>
    </w:p>
    <w:p>
      <w:r>
        <w:t xml:space="preserve"> </w:t>
      </w:r>
    </w:p>
    <w:p>
      <w:pPr>
        <w:pStyle w:val="Heading2"/>
      </w:pPr>
      <w:r>
        <w:t>Abstract</w:t>
      </w:r>
    </w:p>
    <w:p>
      <w:r>
        <w:t>This study measures how English and mathematics teachers in Saudi Arabia integrate four 21st-century skills—creativity, collaboration, critical thinking, and communication—into classroom instruction and identifies the main barriers to integration. We use a sequential exploratory mixed-methods design: phase one develops and validates instruments through classroom observations and semi-structured interviews; phase two implements a cluster-randomized pilot comparing a targeted professional development (PD) to control. Primary measurement is a rubric-based latent composite score derived via CFA/IRT (CFA = confirmatory factor analysis; IRT = item response theory). We pre-register a Bayesian three-level mediation model (observations within teachers within schools) to test whether PD-driven changes in observed practice mediate student task performance. Contributions include a validated observation rubric, psychometric calibration of student tasks, explicit rater models and reliability rules, DIF/invariance checks across language and gendered contexts, and reproducible simulation scripts for sample planning. Expected outcomes are valid measurement tools, quantification of PD impact, and actionable evidence about implementation barriers for policy and scale-up.</w:t>
      </w:r>
    </w:p>
    <w:p>
      <w:r>
        <w:t xml:space="preserve"> </w:t>
      </w:r>
    </w:p>
    <w:p>
      <w:pPr>
        <w:pStyle w:val="Heading2"/>
      </w:pPr>
      <w:r>
        <w:t>Experiments</w:t>
      </w:r>
    </w:p>
    <w:p>
      <w:r>
        <w:t>Dataset and sampling: cluster randomized pilot across 40 schools (stratified by urban/rural, public/private, boys/girls), target N = 120 teachers (minimum) and 180–200 preferable; per teacher collect baseline and follow-up data. Observations: 3 independent lesson observations per teacher at each timepoint, each double-rated by 2 trained raters (target ~360 baseline and 360 follow-up observations). Student tasks: per teacher sample ~10–15 students for subject-specific tasks; initial calibration sample N≈200 students/subject, larger calibration N≥400. Qualitative data: long-form video of 3–5 lessons for instrument development in 8–12 purposive schools; 30–50 semi-structured teacher interviews. Randomization: at school level (cluster RCT) with equal allocation to PD vs control. Baselines: control = business-as-usual PD; alternative baseline = minimal workshop. Primary outcome: latent composite rubric score from CFA/IRT (latent score = statistical estimate of the underlying skill level). Secondary outcomes: student task rubric totals (polytomous 0–3 items) and a short standardized critical-thinking battery. Reliability metrics: generalizability coefficient G (from G-study) target G≥0.70; rater ICC(2,1) ≥0.60 per rater; ICC(2,k) ≥0.75 for double-rated composites; McDonald’s omega ≥0.75 pilot, ≥0.80 final. Analysis models: (1) primary: Bayesian three-level SEM for mediation with weakly informative priors, MCMC 4 chains, 4,000 iterations, 1,000 warmup; report posterior medians and 95% credible intervals; (2) robustness: frequentist MLR with robust SEs and bootstrap CIs (≥5,000 reps). Rater modeling: include rater random intercepts and rater×item random effects in the hierarchical model (rater SD prior e.g., half-Normal(0,1) on latent scale). DIF/invariance: graded-response IRT for items, multiple-group CFA for invariance (configural → metric → scalar), flag substantive DIF at |Δlogit|≥0.5 or R2≥0.035; if subgroup N&lt;800 treat DIF as provisional. Power and simulations: run Monte Carlo simulations (≥1,000 reps) for full three-level mediation varying ICCs (obs→teacher .15–.25; teacher→school .03–.08), effect sizes d=.30–.40, rater error SD=.20–.40, cluster-size variability, noncompliance rates, and missingness MAR 5–20%; produce power contours (power vs effect size vs clusters). Ablations and comparisons: (A) vary number of raters/observations (1–4 raters, 1–5 observations) and compare G coefficients; (B) estimator comparison: Bayesian multilevel SEM vs frequentist MLR; (C) measurement ablation: full item set vs removing DIF-flagged items; (D) fidelity ablation: per-protocol (meeting fidelity benchmarks) vs intent-to-treat. Pre-registered thresholds: PD effect detected if posterior probability (PD&gt;0) ≥0.75 and median effect size ≥ d=0.30. Preprocessing and reproducibility: share seeds, software versions, and annotated R/Stan scripts. Missing data: planned-missing two-form for student tasks with linking items; primary imputation = multiple imputation under MAR with auxiliary variables; pre-register MNAR sensitivity via pattern-mixture and tipping-point analyses.</w:t>
      </w:r>
    </w:p>
    <w:p>
      <w:r>
        <w:t xml:space="preserve"> </w:t>
      </w:r>
    </w:p>
    <w:p>
      <w:pPr>
        <w:pStyle w:val="Heading2"/>
      </w:pPr>
      <w:r>
        <w:t>Risk Factors And Limitations</w:t>
      </w:r>
    </w:p>
    <w:p>
      <w:r>
        <w:t>Low recruitment or attrition reducing power; contamination/spillover across teachers or schools diluting treatment contrast; rater drift or low inter-rater reliability causing measurement noise; insufficient subgroup sample sizes for definitive DIF detection (Ns &lt;800) limiting fairness claims; nonrandom missing data (MNAR) biasing estimates if not captured by auxiliaries; teacher turnover or administrative changes interrupting PD delivery and fidelity measurements; cultural or consent constraints in gender-segregated settings delaying data collection; computational burden and slow convergence in Bayesian three-level SEM for large models; limits to generalization beyond the sampled regions, school types, and grades; budget and timeline constraints reducing the planned number of observations or double-coding; measurement failure modes where rubrics or student tasks do not reach target reliability (omega &lt;.75) making mediation inference weak.</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