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reproducing_inequality_sc_dl_ses</w:t>
      </w:r>
    </w:p>
    <w:p>
      <w:r>
        <w:t xml:space="preserve"> </w:t>
      </w:r>
    </w:p>
    <w:p>
      <w:pPr>
        <w:pStyle w:val="Heading2"/>
      </w:pPr>
      <w:r>
        <w:t>Title</w:t>
      </w:r>
    </w:p>
    <w:p>
      <w:r>
        <w:t>Regression-based analysis of how social capital, digital literacy, and socioeconomic status affect access to higher education for Chinese high school graduates</w:t>
      </w:r>
    </w:p>
    <w:p>
      <w:r>
        <w:t xml:space="preserve"> </w:t>
      </w:r>
    </w:p>
    <w:p>
      <w:pPr>
        <w:pStyle w:val="Heading2"/>
      </w:pPr>
      <w:r>
        <w:t>Short Hypothesis</w:t>
      </w:r>
    </w:p>
    <w:p>
      <w:r>
        <w:t>Higher activated social capital (documented, time-ordered support from named alters) causally increases the probability of admission to selective four-year institutions for Chinese high school graduates, and this positive effect is larger for students with higher digital literacy and higher socioeconomic status.</w:t>
      </w:r>
    </w:p>
    <w:p>
      <w:r>
        <w:t xml:space="preserve"> </w:t>
      </w:r>
    </w:p>
    <w:p>
      <w:pPr>
        <w:pStyle w:val="Heading2"/>
      </w:pPr>
      <w:r>
        <w:t>Related Work</w:t>
      </w:r>
    </w:p>
    <w:p>
      <w:r>
        <w:t>Existing research links social capital, digital literacy, and SES to educational outcomes using cross-sectional regressions, multilevel models, instrumental-variables, and mediation analyses. Prior methods often (1) measure networks as stock (count of ties) rather than time-ordered activation, (2) rely on self-reported digital skills rather than objective performance tasks, (3) ignore spillovers between students (interference) or treat them simplistically, and (4) provide limited sensitivity checks for mediator–outcome confounding and measurement error. Work using IV or encouragement designs has improved causal claims but rarely integrates network-based spillover estimators (e.g., Hudgens &amp; Halloran-style direct/indirect effects) with modern mediation tools (e.g., TMLE or Imai mediation). Many studies also lack privacy-aware public releases (differential privacy diagnostics) and do not report how synthetic data results reconcile with secure-enclave analyses. These gaps limit causal interpretation of mediator pathways, robustness under interference, and reproducible public sharing of networked, sensitive data.</w:t>
      </w:r>
    </w:p>
    <w:p>
      <w:r>
        <w:t xml:space="preserve"> </w:t>
      </w:r>
    </w:p>
    <w:p>
      <w:pPr>
        <w:pStyle w:val="Heading2"/>
      </w:pPr>
      <w:r>
        <w:t>Abstract</w:t>
      </w:r>
    </w:p>
    <w:p>
      <w:r>
        <w:t>This study examines whether and how social capital shapes Chinese high school graduates' access to higher education and how digital literacy and socioeconomic status (SES) interact with social capital to affect outcomes. Using a survey sample of 629 students across western, central, and eastern provinces, we analyze time-stamped, activated social ties, objective digital literacy tasks, and SES measures. We apply regression-based causal analyses: multilevel mixed models for clustered assignment, instrumental-variables and complier-average causal effect (CACE) estimators when applicable, mediation estimators (natural direct/indirect effects) augmented by doubly robust methods (TMLE), and spillover estimators for partial interference (direct and indirect effects). Main contributions are (1) combining activated-network measurement with objective digital tasks, (2) pre-specified causal estimands and sensitivity simulations that inject violations (unmeasured confounding, wider spillovers, mediator mismeasurement), and (3) transparent release plans balancing secure-enclave analyses with differentially private synthetic data. Expected outcomes are estimated effect sizes and sensitivity contours showing how robust mediation conclusions are to plausible violations, informing equitable policy choices to reduce reproduction of educational inequality.</w:t>
      </w:r>
    </w:p>
    <w:p>
      <w:r>
        <w:t xml:space="preserve"> </w:t>
      </w:r>
    </w:p>
    <w:p>
      <w:pPr>
        <w:pStyle w:val="Heading2"/>
      </w:pPr>
      <w:r>
        <w:t>Experiments</w:t>
      </w:r>
    </w:p>
    <w:p>
      <w:r>
        <w:t>Dataset: primary survey of n=629 high school graduates sampled across western, central, and eastern Chinese provinces; variables: activated tie events (time-stamped counselor/mentor contacts, recommendation submissions), egocentric name generators (up to 10 alters), objective digital literacy task scores, baseline covariates (parental education, household income proxy, prior GPA/test scores, sex, region), and outcome measures (FAFSA-equivalent application completion binary, application-quality index continuous, admission to selective 4-year binary, net price paid continuous). Link administrative enrollment/billing records where available. Baselines: (A) OLS/logistic regressions with covariates, (B) multilevel mixed-effects models with school random effects, (C) IV/CACE using randomized counselor or mentor assignment as instrument, (D) DiD/event-study (Callaway &amp; Sant’Anna) for staggered rollouts if present. Mediation and spillover models: (E) Imai-style causal mediation for natural direct/indirect effects, (F) TMLE (targeted maximum likelihood estimation) for doubly robust mediation, (G) Hudgens &amp; Halloran / Aronow &amp; Samii-style estimators for direct and indirect spillover under partial interference. Missing data and network gaps: multiple imputation with ERGM-augmented models (≥20 imputations). Evaluation metrics: for binary outcomes report absolute percentage-point ATE/LATE/CACE with 95% CI and p-values; for continuous outcomes report standardized effect (SD units), mean difference, RMSE, and R-squared; for mediation report natural indirect/direct effect sizes, proportion mediated, and bootstrap or influence-function CIs; for spillovers report direct/indirect effect estimates and cluster-robust SEs. Sensitivity and simulation suite: Monte Carlo simulations varying ICCs {0.01,0.03,0.05,0.10}, cluster sizes and attrition rates {5%,15%,30%}, and injecting violations: unmeasured mediator–outcome confounding (R2-style strengths), extended interference radii (k-hop 2 vs 1), and mediator measurement error (misclassification rates). Ablations: (1) omit digital literacy tasks (self-report only) vs include objective tasks and passive traces, (2) cap alters at 10 vs expanded name list, (3) ignore spillovers vs model spillovers, (4) estimate mediation with TMLE vs standard regression-based mediation. Pre-registration: specify estimands, adjustment sets, exposure mappings (ego proportion and school share), and exact simulation priors used to compute MDEs.</w:t>
      </w:r>
    </w:p>
    <w:p>
      <w:r>
        <w:t xml:space="preserve"> </w:t>
      </w:r>
    </w:p>
    <w:p>
      <w:pPr>
        <w:pStyle w:val="Heading2"/>
      </w:pPr>
      <w:r>
        <w:t>Risk Factors And Limitations</w:t>
      </w:r>
    </w:p>
    <w:p>
      <w:r>
        <w:t>Measurement error: participants may misreport ties or timing; objective tasks and time stamps can still mislink events (technical failure mode). Partial-interference assumption: treating interference as limited to schools may be false if students have cross-school ties. Unmeasured confounding: mediator–outcome confounding may bias mediation estimates if not captured by covariates. Small sample/subgroup power: n=629 limits precision for subgroup analyses and small cluster inference. Attrition: differential dropout by SES or treatment arm can bias estimates; high attrition reduces effective sample size. Privacy-utility tradeoff: differentially private synthetic data may reduce analytic fidelity compared with secure-enclave results. Generalizability: results from sampled Chinese provinces may not generalize to other regions or education systems. Estimator robustness: TMLE or IV estimators rely on correct model parts or exclusion restrictions (e.g., counselor IV must not affect outcomes except via mediator); violations break identification. Capping alters: limiting alters to 10 may truncate true network exposure and bias spillover measures if high-degree respondents exist.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