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dance_therapy_rehab_bibliometrics</w:t>
      </w:r>
    </w:p>
    <w:p>
      <w:r>
        <w:t xml:space="preserve"> </w:t>
      </w:r>
    </w:p>
    <w:p>
      <w:pPr>
        <w:pStyle w:val="Heading2"/>
      </w:pPr>
      <w:r>
        <w:t>Title</w:t>
      </w:r>
    </w:p>
    <w:p>
      <w:r>
        <w:t>Preregistered longitudinal bibliometric mapping of research on dance therapy in rehabilitation (2000–2024) using multi-database retrieval, clinical annotation, and network analysis</w:t>
      </w:r>
    </w:p>
    <w:p>
      <w:r>
        <w:t xml:space="preserve"> </w:t>
      </w:r>
    </w:p>
    <w:p>
      <w:pPr>
        <w:pStyle w:val="Heading2"/>
      </w:pPr>
      <w:r>
        <w:t>Short Hypothesis</w:t>
      </w:r>
    </w:p>
    <w:p>
      <w:r>
        <w:t>Using a preregistered, multi-database bibliometric pipeline with standardized deduplication and clinical mapping will produce more reproducible and clinically interpretable thematic clusters (higher adjusted rand index) than single-database or non-preregistered pipelines.</w:t>
      </w:r>
    </w:p>
    <w:p>
      <w:r>
        <w:t xml:space="preserve"> </w:t>
      </w:r>
    </w:p>
    <w:p>
      <w:pPr>
        <w:pStyle w:val="Heading2"/>
      </w:pPr>
      <w:r>
        <w:t>Related Work</w:t>
      </w:r>
    </w:p>
    <w:p>
      <w:r>
        <w:t>Prior work on dance therapy and rehabilitation has applied bibliometric tools and case reviews to describe growth and topical interest, but studies are fragmented: many use a single database, inconsistent search strings, ad hoc deduplication, and limited clinical annotation. Existing analyses often lack preregistered methods, do not harmonize controlled vocabularies across databases, and rarely assess cluster stability or dose/outcome mappings. These gaps limit reproducibility, undercount cross-database records, produce unstable network structures, and prevent clear translation to clinical populations and dosing questions.</w:t>
      </w:r>
    </w:p>
    <w:p>
      <w:r>
        <w:t xml:space="preserve"> </w:t>
      </w:r>
    </w:p>
    <w:p>
      <w:pPr>
        <w:pStyle w:val="Heading2"/>
      </w:pPr>
      <w:r>
        <w:t>Abstract</w:t>
      </w:r>
    </w:p>
    <w:p>
      <w:r>
        <w:t>We address the absence of a reproducible, longitudinal bibliometric map of dance therapy in rehabilitation from 2000–2024. We propose a preregistered pipeline that combines multi-database retrieval (Web of Science, Scopus, PubMed, PsycINFO, CINAHL, Embase where available), a machine-readable crosswalk of controlled vocabularies, deterministic and fuzzy deduplication, clinical annotation of populations/dose/outcomes, and time-sliced network analysis. Main contributions are: (1) a locked, shareable protocol (search strings, thresholds, and analysis choices); (2) automated and manual workflows for robust author/institution disambiguation; and (3) evaluation of thematic cluster stability and clinical interpretability. Expected outcomes include reproducible sets of thematic clusters, quantified sensitivity of networks to analytic choices, and a clinically annotated corpus that reveals underrepresented populations and dosing evidence. Technical measures reported will include precision/recall for retrieval, Cohen’s kappa for annotation reliability, adjusted rand index (ARI) for cluster stability, and mean normalized citation score (MNCS) for citation normalization. This work aims to enable defensible synthesis and guide future clinical research in dance therapy.</w:t>
      </w:r>
    </w:p>
    <w:p>
      <w:r>
        <w:t xml:space="preserve"> </w:t>
      </w:r>
    </w:p>
    <w:p>
      <w:pPr>
        <w:pStyle w:val="Heading2"/>
      </w:pPr>
      <w:r>
        <w:t>Experiments</w:t>
      </w:r>
    </w:p>
    <w:p>
      <w:r>
        <w:t>Datasets: exports from Web of Science Core Collection, Scopus, PubMed, PsycINFO, CINAHL, and Embase (where licensing permits); time window 2000–2024; include articles, reviews, conference papers; flag preprints/theses. Baselines: (A) single-database (Web of Science) pipeline; (B) multi-database without preregistered deduplication/clinical mapping; (C) multi-database with preregistered pipeline (proposed). Evaluation metrics: retrieval precision and recall (with 95% CI) against manual gold standard; Cohen’s kappa for clinical annotation; adjusted rand index (ARI) and variation of information (VI) for cluster stability; MNCS (mean normalized citation score) for citation normalization; counts of unique authors/institutions and geographic coverage; number of clinically annotated population types and dosing records. Gold-standard construction: stratified random sample n=200 (40 per database) across three periods (2000–2009, 2010–2014, 2015–2024); two expert annotators with calibration rounds produce inclusion labels and clinical fields; adjudication by third expert. Experimental setup: run end-to-end pipelines for each baseline; perform sensitivity grids for thresholds: min docs per author {2,3,5}, min keyword occurrences {3,5,10}, top cited items per slice {25,50,100}; compare counting schemes fractional vs whole; compare deduplication strategies DOI-only vs DOI+fuzzy (token_set_ratio&gt;=90); perform ablations: remove clinical mapping, vary dosing imputation {45,60,90} minutes, exclude grey literature, exclude non-English. Trend models: Joinpoint (max 3 joinpoints), segmented Poisson/negative-binomial, Bayesian change-point; report model diagnostics and multiple-testing correction. Outputs: tables of metric comparisons, ARI heatmaps across threshold grid, confusion matrices for retrieval and extraction, and reproducible code/containers.</w:t>
      </w:r>
    </w:p>
    <w:p>
      <w:r>
        <w:t xml:space="preserve"> </w:t>
      </w:r>
    </w:p>
    <w:p>
      <w:pPr>
        <w:pStyle w:val="Heading2"/>
      </w:pPr>
      <w:r>
        <w:t>Risk Factors And Limitations</w:t>
      </w:r>
    </w:p>
    <w:p>
      <w:r>
        <w:t>Vendor and licensing limits: Embase/Emtree and some APIs may require paid access, rate limits, or prevent full automated harvest; fallback exports may lack fields. Retrieval bias: search strings and controlled-vocabulary mapping may miss poorly indexed or non-English records. Gold-standard limits: n=200 manual sample may not capture rare subtopics; annotator expertise variance can bias labels. Deduplication errors: false merges or missed duplicates from title/author variations can distort author and collaboration networks. NLP extraction limits: automated dosing/outcome extraction may have low precision/recall, especially from inconsistent reporting; imputation rules (e.g., 60-min default) introduce bias. Generalization: findings reflect indexed literature and may not represent unpublished clinical practice or grey literature. Computational limits: large network analyses and consensus clustering can be compute-intensive and slow. Ethical/privacy limits: contacting authors or handling identifiable metadata may require permissions or IRB review.</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