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aesthetics_comparativeness_islam_observed</w:t>
      </w:r>
    </w:p>
    <w:p>
      <w:r>
        <w:t xml:space="preserve"> </w:t>
      </w:r>
    </w:p>
    <w:p>
      <w:pPr>
        <w:pStyle w:val="Heading2"/>
      </w:pPr>
      <w:r>
        <w:t>Title</w:t>
      </w:r>
    </w:p>
    <w:p>
      <w:r>
        <w:t>Interdisciplinary comparative analysis of aesthetic codes to map regional variations in Islamic practice in Morocco and Indonesia</w:t>
      </w:r>
    </w:p>
    <w:p>
      <w:r>
        <w:t xml:space="preserve"> </w:t>
      </w:r>
    </w:p>
    <w:p>
      <w:pPr>
        <w:pStyle w:val="Heading2"/>
      </w:pPr>
      <w:r>
        <w:t>Short Hypothesis</w:t>
      </w:r>
    </w:p>
    <w:p>
      <w:r>
        <w:t>Higher frequencies of annotated comparativeness devices (SIM, GRAD, COMP, VIS-GRAD, VIS-JUX) in region-specific corpora cause supervised models trained on those annotations to predict regional provenance (Morocco vs Indonesia) with accuracy significantly above chance (p &lt; 0.05).</w:t>
      </w:r>
    </w:p>
    <w:p>
      <w:r>
        <w:t xml:space="preserve"> </w:t>
      </w:r>
    </w:p>
    <w:p>
      <w:pPr>
        <w:pStyle w:val="Heading2"/>
      </w:pPr>
      <w:r>
        <w:t>Related Work</w:t>
      </w:r>
    </w:p>
    <w:p>
      <w:r>
        <w:t>Existing research combines philology, ethnography, visual studies, and computational tools to study Islamic aesthetics using annotation schemas, OCR/HTR (automated text recognition), and neural language models. Prior approaches provide useful codebooks and platform recommendations (e.g., Transkribus for manuscripts, INCEpTION for annotation, AraBERT/XLM-R for modeling). Limitations remain: many studies treat text and image modalities separately rather than as linked cross-modal corpora; OCR/HTR error propagation into annotations and downstream models is under-specified; sampling often reflects archive survivorship and colonial collection biases without formal stratified frames or weighting; reproducibility is uneven because pipelines lack containerized, versioned artifacts; and community governance, legal specificity, and detailed annotation training curricula are frequently missing or incomplete.</w:t>
      </w:r>
    </w:p>
    <w:p>
      <w:r>
        <w:t xml:space="preserve"> </w:t>
      </w:r>
    </w:p>
    <w:p>
      <w:pPr>
        <w:pStyle w:val="Heading2"/>
      </w:pPr>
      <w:r>
        <w:t>Abstract</w:t>
      </w:r>
    </w:p>
    <w:p>
      <w:r>
        <w:t>This project applies an interdisciplinary comparative methodology to measure how aesthetic forms of comparativeness—explicit simile (tashbīh), gradation (tashkīk), contrastive juxtaposition (muqāranah), and parallel visual devices—shape regional Islamic practice in Morocco and Indonesia. We will build a cross-modal corpus of texts, images, and oral recordings, apply a harmonized annotation codebook (SIM, GRAD, COMP, MET, VIS-GRAD, VIS-JUX), and link textual and visual annotations via persistent identifiers. The main contribution is a reproducible pipeline that quantifies aesthetic comparativeness across media and regions and evaluates how those quantified patterns predict provenance and evaluative discourse. We will test classifiers and statistical models that incorporate OCR/HTR error modeling (measurement-error methods) and report annotation reliability (IAA) and model fairness across linguistic and regional groups. Expected outcomes include validated annotation resources, an evaluated computational pipeline, and empirically grounded claims about regional aesthetic codes, enabling more transparent comparative scholarship in Islamic studies.</w:t>
      </w:r>
    </w:p>
    <w:p>
      <w:r>
        <w:t xml:space="preserve"> </w:t>
      </w:r>
    </w:p>
    <w:p>
      <w:pPr>
        <w:pStyle w:val="Heading2"/>
      </w:pPr>
      <w:r>
        <w:t>Experiments</w:t>
      </w:r>
    </w:p>
    <w:p>
      <w:r>
        <w:t>Datasets: 1) Text corpus: 3,000 texts balanced by genre (1,500 lyric poems, 1,000 tafsīr/exegetical excerpts, 500 adab/philosophical texts) drawn from Moroccan and Indonesian provenance where possible; 2) Image corpus: 5,000 IIIF-compliant images (manuscript folios, architectural details, material objects) with provenance metadata; 3) Ethnographic audio: two field sites (one Morocco, one Indonesia), 30–40 participants per site, transcribed. Preprocessing: OCR/HTR with Transkribus and Calamari/Kraken, produce TEI XML; compute CER (character error rate) for OCR (CER = fraction of incorrect characters); retain raw and corrected transcriptions. Annotation: dual annotation on a stratified sample of ≥2,000 instances, report inter-annotator agreement (IAA) via Cohen's kappa (target ≥0.75) and Krippendorff's alpha. Baselines: (A) frequency heuristic classifier using normalized token counts of SIM/GRAD/COMP, (B) logistic regression on hand-crafted features (counts, prosodic markers), (C) transformer classifier fine-tuned on annotated data (XLM-R or AraBERT variants). Main model: transformer with multi-modal inputs (text tokens + linked VIS tags encoded as features). Evaluation metrics: region classification accuracy, precision, recall, F1, AUC; per-label precision/recall for annotation codes; OCR impact: measure tag recall/precision stratified by CER buckets and report measurement-error estimates. Statistical tests: chi-square for frequency differences, GLM/logistic regression for predictors, bootstrap confidence intervals, significance threshold p&lt;0.05. Ablations: (1) full multi-modal model vs text-only vs image-only, (2) model trained on raw OCR vs OCR with measurement-error correction (e.g., multiple imputation or measurement-error model), (3) with vs without ethnographic features (speaker gender, role). Validation: k-fold cross-validation and region holdout (train on Morocco, test on Indonesia and vice versa) to assess generalization.</w:t>
      </w:r>
    </w:p>
    <w:p>
      <w:r>
        <w:t xml:space="preserve"> </w:t>
      </w:r>
    </w:p>
    <w:p>
      <w:pPr>
        <w:pStyle w:val="Heading2"/>
      </w:pPr>
      <w:r>
        <w:t>Risk Factors And Limitations</w:t>
      </w:r>
    </w:p>
    <w:p>
      <w:r>
        <w:t>Technical OCR/HTR errors may degrade annotation recall and classifier performance; CER (character error rate) will vary by script and manuscript quality. Sampling bias: archival survivorship and unequal access to collections can skew regional representation and create selection bias. Annotation drift: coders may vary over time, reducing reliability. Language/script diversity (Arabic, local Arabic varieties, Malay/Indonesian scripts) complicates NLP transfer and may cause model bias. Compute limits: fine-tuning large transformers and HTR models requires significant GPU resources. Legal and ethical constraints: country-specific consent and data-sharing laws may restrict access to materials or require embargoes. Small-sample strata: under-represented genres or regions may lack power for some statistical tests. Generalization limit: models trained on Morocco and Indonesia may not transfer to other Islamic regions without reannotation. Human-subject risks: community expectations and ownership claims may limit public release of sensitive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