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apathy_loneliness_resilience_riclpm</w:t>
      </w:r>
    </w:p>
    <w:p>
      <w:r>
        <w:t xml:space="preserve"> </w:t>
      </w:r>
    </w:p>
    <w:p>
      <w:pPr>
        <w:pStyle w:val="Heading2"/>
      </w:pPr>
      <w:r>
        <w:t>Title</w:t>
      </w:r>
    </w:p>
    <w:p>
      <w:r>
        <w:t>A three-wave latent RI-CLPM study testing whether loneliness mediates the within-person effect of apathy on resilience and whether cognitive function moderates that indirect pathway in adults aged 50+</w:t>
      </w:r>
    </w:p>
    <w:p>
      <w:r>
        <w:t xml:space="preserve"> </w:t>
      </w:r>
    </w:p>
    <w:p>
      <w:pPr>
        <w:pStyle w:val="Heading2"/>
      </w:pPr>
      <w:r>
        <w:t>Short Hypothesis</w:t>
      </w:r>
    </w:p>
    <w:p>
      <w:r>
        <w:t>Within individuals, increases in apathy at one wave cause increases in loneliness at the next wave, which in turn cause decreases in resilience, and this indirect effect is weaker in persons with higher cognitive function.</w:t>
      </w:r>
    </w:p>
    <w:p>
      <w:r>
        <w:t xml:space="preserve"> </w:t>
      </w:r>
    </w:p>
    <w:p>
      <w:pPr>
        <w:pStyle w:val="Heading2"/>
      </w:pPr>
      <w:r>
        <w:t>Related Work</w:t>
      </w:r>
    </w:p>
    <w:p>
      <w:r>
        <w:t>Prior work has used cross-sectional correlations and simple longitudinal regressions to link apathy, loneliness, and resilience but cannot separate stable between-person differences from within-person change. Traditional cross-lagged panel models (CLPM) estimate temporal links but conflate trait-level (stable) and state-level (within-person) variance, which can bias mediation estimates. Mediation studies in aging often ignore time-varying confounders and do not test cognitive moderation with latent composites. Measurement work shows apathy and depression share symptoms; many studies use summed apathy scales without item-level bifactor models to isolate apathy-specific variance. EMA studies measure momentary loneliness but frequently have low compliance, ad hoc aggregation, and weak integration with longitudinal mediation models. Power and Monte Carlo planning are commonly underreported, leaving unclear whether studies can detect small indirect effects. These gaps create risk of biased causal claims, measurement confounding, and low reproducibility.</w:t>
      </w:r>
    </w:p>
    <w:p>
      <w:r>
        <w:t xml:space="preserve"> </w:t>
      </w:r>
    </w:p>
    <w:p>
      <w:pPr>
        <w:pStyle w:val="Heading2"/>
      </w:pPr>
      <w:r>
        <w:t>Abstract</w:t>
      </w:r>
    </w:p>
    <w:p>
      <w:r>
        <w:t>We address whether within-person changes in apathy reduce resilience indirectly via increased loneliness, and whether global cognitive function moderates the loneliness→resilience link, in community-dwelling adults aged 50+. We use a latent-variable random-intercept cross-lagged panel model (RI-CLPM) across three waves (baseline, 6 months, 12 months). Latent constructs (apathy, loneliness, resilience) separate trait (stable) from state (within-person) variance; apathy items will be modeled with an item-level bifactor to isolate apathy-specific variance from general distress. Cognitive function is a continuous latent global composite from performance tests. Primary contribution: a preregistered, reproducible test of a within-person moderated mediation with explicit Monte Carlo power analyses, missing-data sensitivity (IPW/pattern-mixture/selection models), and EMA-derived auxiliary metrics of loneliness. Expected outcome: precise estimates of the within-person indirect effect and its moderation by cognition, with clear bounds on causal claims under explicit missingness and confounding assumptions.</w:t>
      </w:r>
    </w:p>
    <w:p>
      <w:r>
        <w:t xml:space="preserve"> </w:t>
      </w:r>
    </w:p>
    <w:p>
      <w:pPr>
        <w:pStyle w:val="Heading2"/>
      </w:pPr>
      <w:r>
        <w:t>Experiments</w:t>
      </w:r>
    </w:p>
    <w:p>
      <w:r>
        <w:t>Datasets: primary prospective cohort of community-dwelling adults aged ≥50 with three measurement waves (t0 baseline, t1 = 6 months mediator, t2 = 12 months outcome); measures: item-level AES/LARS, CES-D/GDS, multi-item resilience scale, loneliness scale, MoCA, Trails A/B, Stroop, Digit-Symbol, HVLT, EMA bursts at t0 and t2 (3 prompts/day × 7 days). Simulations: Monte Carlo grid using simsem or Mplus with seed=12345 and 2,000 replications per cell. Grid parameters: N ∈ {240, 280, 320, 360, 400}; attrition ∈ {0%, 10%, 15%, 20%, 25%}; indicator loadings ∈ {0.6,0.7,0.8}; within-person AR ≈0.3–0.5; target standardized within-person indirect = 0.05, 0.10, 0.15. Baseline models to fit: (A) RI-CLPM (primary) with random intercepts and stationary within-person ARs, (B) standard CLPM without random intercepts, (C) single-wave cross-sectional mediation, (D) RI-CLPM using summed apathy score, (E) RI-CLPM using apathy-specific bifactor factor. Moderation tests: estimate indirect at cognition percentiles (10th,50th,90th); compare product-of-coefficients with 5,000 bootstrap CIs and latent-interaction (LMS) as sensitivity. Missing-data strategies: FIML (primary), IPW-weighted MSM, pattern-mixture delta grid ±0.1 to ±1.0 SD, selection models. EMA analyses: primary burst-level latent means (three day-parcels) included as auxiliary indicators; inclusion rule ≥70% prompts/burst or ≥5 days with ≥2 prompts/day. Evaluation metrics: statistical power to detect indirect=0.10, RMSE and bias of indirect estimate, 95% CI coverage, model fit indices (CFI, TLI, RMSEA, SRMR), effective sample size for weights (ESS), balance diagnostics (standardized mean differences &lt;0.10). Ablations: remove cognitive moderator, replace bifactor apathy with summed scores, relax stationarity constraints, vary attrition and MNAR patterns. Implementation details: code and Docker image published; report power-vs-N curves and full simulation code.</w:t>
      </w:r>
    </w:p>
    <w:p>
      <w:r>
        <w:t xml:space="preserve"> </w:t>
      </w:r>
    </w:p>
    <w:p>
      <w:pPr>
        <w:pStyle w:val="Heading2"/>
      </w:pPr>
      <w:r>
        <w:t>Risk Factors And Limitations</w:t>
      </w:r>
    </w:p>
    <w:p>
      <w:r>
        <w:t>Measurement noninvariance across age or cognitive strata could invalidate latent comparisons. Low EMA compliance or high attrition, especially MNAR (not missing at random), can bias estimates and lead to extreme IP weights with low effective sample size. Bifactor modeling may fail to separate apathy from general distress if omegaH and ECV are low, forcing reliance on clinician/informant ratings. Fixing nonprimary cross-lags to zero risks model misspecification if true reciprocal effects exist. Target indirect effect may be smaller than planned, reducing power even with preregistration. Cognitive adjudication thresholds (e.g., MCI at ≥1.0 SD) introduce classification uncertainty that can affect moderation tests. Results generalize to community-dwelling older adults and may not apply to clinical or institutional populations. Computational load: Monte Carlo grids, bootstrap CIs, and complex SEMs demand substantial compute time and memory for reproducible runs.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