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medical_utilization_health_assets_charls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 and structural analysis of how medical resource utilization and health capital shape financial market participation and asset allocation among middle-aged and elderly households using CHARLS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utilization of medical resources causally increases latent household health capital, which raises the probability of financial market participation and shifts portfolio allocation toward riskier financial assets for middle-aged and elderly households.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empirical work uses reduced-form regressions (logit for participation, tobit for censored portfolio shares), mediation analyses, and structural lifecycle models that incorporate health shocks and consumption–saving decisions. Identification strategies commonly exploit supply-side instruments (physician density, distance-to-specialist) and age-based discontinuities (policy eligibility at age thresholds). Prior approaches are limited because (1) observational regressions ignore simultaneity between utilization and health, producing biased estimates; (2) many IV studies do not pre-register falsification tests, overidentification diagnostics, or weak-IV contingencies; (3) latent health is often constructed by simple indices without state-space anchoring to mortality or utilities, reducing clinical interpretability; (4) measurement error in self-reported utilization and informative attrition due to mortality are frequently neglected; and (5) few studies jointly connect health-production, utilization, and portfolio choice in a single framework that reports mediation and heterogeneous effects across income and urban–rural groups.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estimates causal links from medical resource utilization to latent health capital and from health capital to financial market participation and portfolio allocation among middle-aged and elderly households using CHARLS panel data (2015, 2018). We construct a latent health index using a state-space/dynamic factor model anchored to predicted 5-year mortality and mapped to EQ-5D utilities for clinical meaning. Identification uses supply-side instruments (regional physician density, distance-to-specialist) and a regression-discontinuity at policy age thresholds; we pre-register placebo tests, first-stage strength rules, overidentification checks, and Conley sensitivity bounds. Empirical models combine logit for participation, tobit for censored portfolio shares, mediation analysis to quantify indirect effects via latent health, and a structural lifecycle module for robustness and microsimulations. Main contributions are: delivering instrumented estimates of marginal health productivity of utilization, quantifying how health changes alter asset choices, and documenting heterogeneity by income and urban–rural status. Expected outcomes include policy-relevant elasticities, mediated effect sizes, and calibrated counterfactuals showing how changes in access or cost of care affect financial risk and welfare.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Data: CHARLS 2015 and 2018 person-level panels restricted to respondents aged 45+; construct household-level variables for assets, portfolio shares, and medical utilization by care type. Sample selection: include respondents with at least one wave of non-missing core variables; report exact N and subgroup counts in pre-analysis file. Latent health: estimate a state-space/dynamic factor model with an AR(1) latent H_t, Normal weakly informative priors on loadings (mean 0, SD 2), and process noise variance priors (Inverse-Gamma); estimation by Bayesian MCMC (Gibbs/Metropolis) with 4 chains, target Rhat&lt;1.1 and effective sample size&gt;200; present c-stat for 5-year mortality prediction (target &gt;0.75). Baselines: (A) naive logit for financial participation and naive tobit for portfolio share (no IV, no mediation); (B) control-function logit/tobit (two-stage residual inclusion); (C) IV/logit and IV/tobit using distance-to-specialist and physician density as instruments; (D) RD at policy age threshold (fuzzy RD) with triangular kernel and bandwidth selected by Calonico–Cattaneo–Titiunik rule. Mediation: estimate direct and indirect effects of utilization M_t on asset outcomes via H_t using an instrumental-variables mediation framework (two-stage estimation producing mediated proportion). Structural robustness: estimate a lifecycle model with H_t and M_t as states, solved with endogenous grid method (EGM) for continuous choices and value-function iteration for discrete choices; convergence tol = 1e-6 on policy functions. Comparisons / Ablations: (1) raw survey M_t vs measurement-error-corrected M_t (measurement error model estimated within CHARLS and, where available, validation subsamples); (2) Cobb–Douglas vs CES functional form for health production f(·); (3) with vs without latent H (replace with observed self-rated health). Diagnostics and metrics: first-stage F-statistics (&gt;10), Hansen/Sargan p-values, Conley sensitivity bounds, Anderson–Rubin and CLR confidence sets when weak IVs; AIC/BIC and out-of-sample moment fit for model selection; average marginal effects, mediated share (percent), RMSE for latent H reconstruction, bootstrap 95% CIs for welfare metrics (consumption-equivalent variation and QALY gains). Heterogeneity: repeat core estimations for income terciles and urban vs rural groups and report subgroup estimates with sample counts. Pre-registered reporting: full coefficient tables, instrument diagnostics, mediation decomposition, functional-form comparison table, and microsimulation counterfactual summaries.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Weak or invalid instruments (supply measures correlated with unobserved demand or regional shocks) can bias IV estimates; measurement error in self-reported utilization may be nonclassical and can invalidate naive IV if measurement error correlates with instruments; latent H mis-specification (incorrect loadings or anchor slopes) can distort mediation estimates; informative attrition and mortality (nonrandom drop-out) can create survivorship bias in longitudinal estimates; subgroup sample sizes may be too small for precise heterogeneity estimates, limiting power; regression-discontinuity fuzziness or manipulation around age thresholds may weaken causal claims; structural model calibration may be computationally heavy and sensitive to solver settings, causing long runtimes or convergence failure; results may not generalize beyond the CHARLS population or the Chinese health system context; multiple hypothesis testing across many outcomes raises false discovery risk; and unobserved time-varying confounders may remain after controls and fixed effects.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