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lcc_stfc_synergy_did</w:t>
      </w:r>
    </w:p>
    <w:p>
      <w:r>
        <w:t xml:space="preserve"> </w:t>
      </w:r>
    </w:p>
    <w:p>
      <w:pPr>
        <w:pStyle w:val="Heading2"/>
      </w:pPr>
      <w:r>
        <w:t>Title</w:t>
      </w:r>
    </w:p>
    <w:p>
      <w:r>
        <w:t>Multi-period difference-in-differences analysis of the synergistic effects of low-carbon city and sci-tech finance pilots on urban green innovation in China</w:t>
      </w:r>
    </w:p>
    <w:p>
      <w:r>
        <w:t xml:space="preserve"> </w:t>
      </w:r>
    </w:p>
    <w:p>
      <w:pPr>
        <w:pStyle w:val="Heading2"/>
      </w:pPr>
      <w:r>
        <w:t>Short Hypothesis</w:t>
      </w:r>
    </w:p>
    <w:p>
      <w:r>
        <w:t>Cities exposed jointly to low-carbon city (LCC) and sci-tech finance city (STFC) pilot policies experience a statistically significant increase in city-level substantive green invention patents compared to cities exposed to only one or no pilot, holding observed covariates and fixed effects constant.</w:t>
      </w:r>
    </w:p>
    <w:p>
      <w:r>
        <w:t xml:space="preserve"> </w:t>
      </w:r>
    </w:p>
    <w:p>
      <w:pPr>
        <w:pStyle w:val="Heading2"/>
      </w:pPr>
      <w:r>
        <w:t>Related Work</w:t>
      </w:r>
    </w:p>
    <w:p>
      <w:r>
        <w:t>Existing studies use staggered difference-in-differences (DiD), event-study designs, spatial econometric models, and patent-based measures to estimate policy effects on green innovation. Common practices include: using binary pilot indicators in multi-period DiD; applying Callaway &amp; Sant’Anna or Sun &amp; Abraham methods to address staggered timing; employing Spatial Durbin Models (SDM) to capture spillovers; and classifying green patents with CPC Y02 or supervised text classifiers. Limitations remain: many works rely on coarse binary treatments that ignore policy intensity and enforcement heterogeneity; spatial dependence is often modeled without transparent decomposition into direct and indirect effects; measurement error in patent classification and budget/enforcement variables is rarely corrected; mediation pathways are frequently described but not estimated with panel causal mediation methods; and instrumental variable constructions are typically stated qualitatively without formal residualization or pre-registered exclusion tests.</w:t>
      </w:r>
    </w:p>
    <w:p>
      <w:r>
        <w:t xml:space="preserve"> </w:t>
      </w:r>
    </w:p>
    <w:p>
      <w:pPr>
        <w:pStyle w:val="Heading2"/>
      </w:pPr>
      <w:r>
        <w:t>Abstract</w:t>
      </w:r>
    </w:p>
    <w:p>
      <w:r>
        <w:t>This study measures how low-carbon city (LCC) pilots and sci-tech finance city (STFC) pilots, alone and together, affect green innovation across Chinese cities from 2006–2021. We use a multi-period difference-in-differences framework (group-time ATT and cohort event studies) to estimate dynamic treatment effects, combine spatial modeling (Spatial Durbin Model for direct and spillover decomposition) to capture geographic interactions, and apply panel causal mediation (sequential g-estimation) to quantify mechanisms such as green loans, VC agglomeration, and R&amp;D subsidies. To improve measurement, we build a CPC Y02-augmented supervised patent classifier (seed N=3,000) and implement SIMEX (a simulation-extrapolation method for correction of measurement error) on continuous intensity measures (budget per capita and enforcement index). We pre-specify three instruments (quota residuals, cadre-rotation shocks, fiscal-calendar timing) and formal first-stage and placebo diagnostics. The main contribution is an operational, pre-registered pipeline that yields robust, spatially aware causal estimates of policy synergy, sequencing, and heterogeneous effects with clear implications for policy design.</w:t>
      </w:r>
    </w:p>
    <w:p>
      <w:r>
        <w:t xml:space="preserve"> </w:t>
      </w:r>
    </w:p>
    <w:p>
      <w:pPr>
        <w:pStyle w:val="Heading2"/>
      </w:pPr>
      <w:r>
        <w:t>Experiments</w:t>
      </w:r>
    </w:p>
    <w:p>
      <w:r>
        <w:t>Datasets: city-year panel of 278 Chinese prefectural cities, 2006–2021; CNIPA patent records (application year, grant year, IPC/CPC, abstracts, citations); city budgets and LCC/STFC disbursements; city-level green loans and VC flows; cadre appointment records; provincial quota notices and fiscal calendar events; city boundary shapefiles and industrial shares. Baselines: (A) simple binary multi-period DiD with city and year fixed effects; (B) staggered DiD via Callaway &amp; Sant’Anna (group-time ATT); (C) event-study via Sun &amp; Abraham; (D) GSynth synthetic control as robustness; (E) Spatial Durbin Model (SDM) without mediation; (F) 2SLS IV DiD with instruments. Primary outcomes: log(1 + invention green patent counts) and field-normalized 5-year forward citations. Secondary outcomes: patents per capita, composite quality score. Evaluation metrics: ATT estimates with 95% confidence intervals, first-stage F-statistics, AR/CLR weak-IV robust intervals, placebo p-values, classifier precision/recall by year/sector. Main specification: multi-period DiD with city and year FE, time-varying covariates, clustered SE at city level; event-study leads −4…−1 and lags 0…+5. Spatial setup: three W matrices (queen contiguity; inverse-distance 1/d^2 with 50 km floor and k-NN cap k=10; economic similarity via cosine of industrial shares), SDM LeSage–Pace decomposition (direct vs indirect). Instrument construction: quota-residual instrument = quota_it − E[quota_it | province × linear time trend, observed province-year covariates] (residualization equation), cadre-rotation indicator as discrete timing shock, and fiscal-calendar timing dummy for bond-release windows. Measurement and classifier pipeline: seed N=3,000 labeled patents; main classifier = CPC Y02 ∪ supervised Chinese-BERT model; validation subsample = 20% cities; SIMEX settings m=200, lambda ∈ {0.25,0.5,0.75,1,1.5,2}. Ablations and robustness checks: (1) remove spatial lags (no SDM); (2) use CPC Y02 only classifier; (3) use grant year instead of application year and test lags 0–5; (4) drop SIMEX correction; (5) shrink enforcement index to binary; (6) alternative IV sets and leave-one-instrument-out. Power and MDE: Monte Carlo simulation using observed baseline means and city clustering to report minimum detectable percent changes under ICCs {0.2,0.1,0.05}. Reporting: cohort-specific ATT plots, SDM direct/indirect estimates with bootstrap SEs, mediation decomposition estimates with sequential g-estimation.</w:t>
      </w:r>
    </w:p>
    <w:p>
      <w:r>
        <w:t xml:space="preserve"> </w:t>
      </w:r>
    </w:p>
    <w:p>
      <w:pPr>
        <w:pStyle w:val="Heading2"/>
      </w:pPr>
      <w:r>
        <w:t>Risk Factors And Limitations</w:t>
      </w:r>
    </w:p>
    <w:p>
      <w:r>
        <w:t>Weak or invalid instruments (first-stage F &lt; 10 or violated exclusion) may prevent causal IV identification. Parallel trends assumption for DiD may be violated if unobserved time-varying shocks differ across cohorts. Spatial interference (treatment spillovers across cities) can bias standard DiD estimates if not fully captured by chosen W matrices. Patent classification errors and geocoding mistakes can bias outcomes and spatial assignment. Policy intensity measures (enforcement index, budget) may be endogenous to unobserved local factors. Data gaps or inconsistent fiscal disclosures across cities limit sample balance and may reduce power. SIMEX and bootstrap procedures are computationally intensive and may strain resources for large bootstrap grids. Results generalize to Chinese prefectural-city context and pilot scale but may not apply to different institutional settings or larger national programs.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