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tmtbi_green_performance_pak_smes</w:t>
      </w:r>
    </w:p>
    <w:p>
      <w:r>
        <w:t xml:space="preserve"> </w:t>
      </w:r>
    </w:p>
    <w:p>
      <w:pPr>
        <w:pStyle w:val="Heading2"/>
      </w:pPr>
      <w:r>
        <w:t>Title</w:t>
      </w:r>
    </w:p>
    <w:p>
      <w:r>
        <w:t>Three-wave panel structural equation modeling and quasi-experimental analysis of top management team behavioral integration effects on environmental performance in Pakistani manufacturing SMEs</w:t>
      </w:r>
    </w:p>
    <w:p>
      <w:r>
        <w:t xml:space="preserve"> </w:t>
      </w:r>
    </w:p>
    <w:p>
      <w:pPr>
        <w:pStyle w:val="Heading2"/>
      </w:pPr>
      <w:r>
        <w:t>Short Hypothesis</w:t>
      </w:r>
    </w:p>
    <w:p>
      <w:r>
        <w:t>Greater top management team behavioral integration at baseline increases firm-level environmental performance at follow-up through higher green dynamic capabilities and greater green innovation, and this positive effect is stronger for firms with greater access to green finance.</w:t>
      </w:r>
    </w:p>
    <w:p>
      <w:r>
        <w:t xml:space="preserve"> </w:t>
      </w:r>
    </w:p>
    <w:p>
      <w:pPr>
        <w:pStyle w:val="Heading2"/>
      </w:pPr>
      <w:r>
        <w:t>Related Work</w:t>
      </w:r>
    </w:p>
    <w:p>
      <w:r>
        <w:t>Prior work links top management characteristics and team processes to firm innovation and performance using upper-echelons and resource-based perspectives. Studies of dynamic capabilities and green innovation show these capabilities can mediate organizational responses to environmental demands. Research on green finance documents that access to targeted finance can enable investment in environmentally beneficial technologies. However, existing approaches have limitations: most evidence is cross-sectional or single-wave, limiting causal claims; many studies rely on single informants (raising common-method bias); measurement of team behavioral integration and green finance is inconsistent (reflective vs formative ambiguity); mediation and moderation paths are often tested without robust temporal ordering; and few studies target SMEs or use objective financial/environmental documents. Quasi-experimental and IV strategies are rare in this literature, and prior work rarely reports multilevel measurement rules (rwg, ICC) or propagates measurement uncertainty into causal estimates. These gaps leave unresolved whether team processes cause environmental gains in SMEs, how financial access conditions those effects, and how measurement decisions affect inference.</w:t>
      </w:r>
    </w:p>
    <w:p>
      <w:r>
        <w:t xml:space="preserve"> </w:t>
      </w:r>
    </w:p>
    <w:p>
      <w:pPr>
        <w:pStyle w:val="Heading2"/>
      </w:pPr>
      <w:r>
        <w:t>Abstract</w:t>
      </w:r>
    </w:p>
    <w:p>
      <w:r>
        <w:t>This study tests whether top management team behavioral integration (TMT-BI) causally improves environmental performance in Pakistani manufacturing SMEs by building green dynamic capabilities (GDC) and green innovation (GI), and whether green finance access (GFAI) strengthens this effect. We use a pre-registered three-wave panel design (T1 TMT-BI and controls; T2 GDC, GI, and GFAI; T3 environmental outcomes) combined with quasi-experimental estimators (staggered Difference-in-Differences and instrumental variables) and structural equation modeling (SEM). Main contributions: (1) establishing temporal causal ordering for serial mediation TMT-BI → GDC → GI → environmental performance, (2) clarifying measurement choices for TMT-BI (reflective second-order vs formative) and for GFAI (formative index), and (3) combining SEM with DiD/IV sensitivity analyses and objective document validation. Expected outcome: evidence on whether and how managerial team integration produces measurable environmental improvements in SMEs and how green finance access alters that pathway, informing SME policy and firm-level governance for greener practices.</w:t>
      </w:r>
    </w:p>
    <w:p>
      <w:r>
        <w:t xml:space="preserve"> </w:t>
      </w:r>
    </w:p>
    <w:p>
      <w:pPr>
        <w:pStyle w:val="Heading2"/>
      </w:pPr>
      <w:r>
        <w:t>Experiments</w:t>
      </w:r>
    </w:p>
    <w:p>
      <w:r>
        <w:t>Datasets: Primary: three-wave panel survey of Pakistani manufacturing SMEs with target 250–300 firms, 2–4 respondents per firm (TMT members + operations/finance officers), collected at T1, T2, T3 with 8–12 month lags. Objective validation: loan agreements or bank confirmations, utility/energy bills, ISO/environmental certificates when available. Pilot dataset: initial cross-sectional pilot of ~40 firms to calibrate measures and ICCs. Baselines: 1) Direct-effect model TMT-BI → Environmental Performance (EP). 2) Mediation model TMT-BI → GDC → EP. 3) Full serial mediation TMT-BI → GDC → GI → EP. 4) Moderator model with GFAI interacting with GDC→EP. Alternative estimators: CB-SEM, PLS-SEM, two-stage multilevel SEM, Callaway &amp; Sant’Anna staggered-DiD, IV estimates using bank-branch proximity and provincial rollout timing. Primary outcome definitions and construction: energy_intensity = total kWh consumed / units produced OR kWh / revenue (PKR), choose units produced when reliable production counts exist, otherwise use revenue; emissions_intensity = CO2-equivalent (kg) / units produced; water_intensity = cubic meters used / units produced; waste_ratio = waste (kg) / units produced; objective indicators (ISO presence, environmental incidents count) recorded as binary/counts. Composite environmental-performance index: standardize each available outcome (z-scores) across the sample and compute the mean of standardized components (requires at least two components present); standardization = (value - sample mean)/sample SD. Evaluation metrics: SEM path coefficients and standard errors, bootstrap 5,000 resamples for indirect effects (bias-corrected CIs), model fit (CFI, TLI, RMSEA, SRMR), first-stage F-statistics for IVs (&gt;10), DiD average treatment effects (ATT) with event-study plots and pre-trend tests, MDE (minimum detectable effect) grids from Monte Carlo across ICC, cluster size, and attrition. Experimental setup: pre-register exact estimation equations including covariates and fixed effects: for DiD/att_gt model: Y_it = α_i + δ_t + Σ_g τ_g * D_{i,g,t} + X_it β + ε_it, cluster SEs at firm level; for IV two-stage least squares: Stage1 GFAI_it = π_0 + π_1 Z_i + X_it π + u_it; Stage2 Y_it = α + γ * GFAI_hat_it + X_it θ + v_it; include time-varying controls X_it (firm age, size, revenue growth, energy price changes, sector × year dummies). Missing data and inference: impute with cluster-aware MICE (m=20, include cluster IDs and auxiliary vars), combine with Rubin’s rules. Pre-registered comparisons/ablations: (A) reflective second-order BI vs formative higher-order BI; (B) full model vs model without GFAI moderator; (C) CB-SEM vs PLS-SEM estimation; (D) analyses using only subjective measures vs analyses augmented with objective documents. Sensitivity analyses: IPW for attrition, Lee bounds, Anderson-Rubin and CLR for weak-IVs, Conley plausible-exogeneity bounds, and spillover checks with spatial/network exposure models.</w:t>
      </w:r>
    </w:p>
    <w:p>
      <w:r>
        <w:t xml:space="preserve"> </w:t>
      </w:r>
    </w:p>
    <w:p>
      <w:pPr>
        <w:pStyle w:val="Heading2"/>
      </w:pPr>
      <w:r>
        <w:t>Risk Factors And Limitations</w:t>
      </w:r>
    </w:p>
    <w:p>
      <w:r>
        <w:t>Measurement error: TMT-BI, GDC, GI and GFAI may be measured with error or biased by self-report; formative vs reflective misspecification can alter results. Common-method bias: multiple respondents reduce but may not eliminate same-source bias. Attrition: multi-wave panel risks &gt;15–25% dropout, reducing power and causing selection bias. Instrument invalidity: bank proximity or rollout timing may violate exclusion restrictions if they affect outcomes through other channels. Imprecise treatment timing: gradual or fuzzy adoption of green finance or initiatives complicates DiD assignment and reduces estimator precision. Spillovers and interference: supplier/customer networks or geographic clustering may violate SUTVA and bias DiD/IV estimates. Limited objective data: firms may refuse document access, limiting validation and reducing ability to correct self-report bias. Power and multilevel ICCs: higher-than-expected intraclass correlations or low per-firm respondent counts reduce ability to detect moderate effects. Generalizability: results in Pakistani manufacturing SMEs may not transfer to large firms, services, or other countries. Computational complexity: combining ML-SEM, DiD, IV and multiple sensitivity checks requires advanced estimation and may be resource- and time-intensive.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