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esg_tfp_ofdi_mode_choice</w:t>
      </w:r>
    </w:p>
    <w:p>
      <w:r>
        <w:t xml:space="preserve"> </w:t>
      </w:r>
    </w:p>
    <w:p>
      <w:pPr>
        <w:pStyle w:val="Heading2"/>
      </w:pPr>
      <w:r>
        <w:t>Title</w:t>
      </w:r>
    </w:p>
    <w:p>
      <w:r>
        <w:t>Mixed-logit and IV/event-study analysis of how firm ESG performance influences outward foreign direct investment (OFDI) mode choice moderated by total factor productivity</w:t>
      </w:r>
    </w:p>
    <w:p>
      <w:r>
        <w:t xml:space="preserve"> </w:t>
      </w:r>
    </w:p>
    <w:p>
      <w:pPr>
        <w:pStyle w:val="Heading2"/>
      </w:pPr>
      <w:r>
        <w:t>Short Hypothesis</w:t>
      </w:r>
    </w:p>
    <w:p>
      <w:r>
        <w:t>Higher firm ESG performance causally increases the probability that a Chinese listed firm selects cross-border M&amp;A rather than greenfield entry, and this effect is stronger for firms with higher total factor productivity (TFP).</w:t>
      </w:r>
    </w:p>
    <w:p>
      <w:r>
        <w:t xml:space="preserve"> </w:t>
      </w:r>
    </w:p>
    <w:p>
      <w:pPr>
        <w:pStyle w:val="Heading2"/>
      </w:pPr>
      <w:r>
        <w:t>Related Work</w:t>
      </w:r>
    </w:p>
    <w:p>
      <w:r>
        <w:t>Existing literature documents two linked facts: (1) ESG and corporate governance practices can raise firm productivity through green innovation and eased financing, and (2) firm productivity and firm-specific advantages influence OFDI entry mode (M&amp;A vs greenfield). Prior empirical approaches either examine ESG→performance or productivity→OFDI mode, but rarely integrate ESG, measured TFP, and discrete OFDI mode choice in a single causal framework. Limitations in prior work include weak identification strategies for ESG (correlation vs causation), measurement error and provider heterogeneity in ESG scores, selection into outward investment (non-investors omitted), rare-mode-count bias for multinomial choices, and insufficient handling of spatial spillovers from peer instruments. Few studies pre-register event windows, instrument validity checks, and nested measurement-error propagation for TFP estimates.</w:t>
      </w:r>
    </w:p>
    <w:p>
      <w:r>
        <w:t xml:space="preserve"> </w:t>
      </w:r>
    </w:p>
    <w:p>
      <w:pPr>
        <w:pStyle w:val="Heading2"/>
      </w:pPr>
      <w:r>
        <w:t>Abstract</w:t>
      </w:r>
    </w:p>
    <w:p>
      <w:r>
        <w:t>We study whether firm environmental, social, and governance (ESG) performance affects the choice of outward foreign direct investment (OFDI) entry mode, and whether firm total factor productivity (TFP) moderates that effect. We build an empirical strategy that combines mixed‑logit multinomial choice models with instrumental variables (IV) based on exogenous ESG shocks (index inclusions, regulatory rollouts) and distance‑buffered peer ESG averages, and event‑study identification for staggered shocks. We harmonize multi-provider ESG scores, estimate firm‑level TFP via control‑function methods, and propagate measurement uncertainty through nested bootstrap re-estimation. The contribution is a pre-registered, reproducible causal pipeline that links ESG → TFP → OFDI mode choice and reports IV‑robust CIs, power/MDE diagnostics, and falsification tests. Expected outcome: credible estimates of how ESG shifts mode probabilities (M&amp;A vs greenfield) and whether higher TFP amplifies those shifts, informing firm strategy and policymaking on sustainable internationalization.</w:t>
      </w:r>
    </w:p>
    <w:p>
      <w:r>
        <w:t xml:space="preserve"> </w:t>
      </w:r>
    </w:p>
    <w:p>
      <w:pPr>
        <w:pStyle w:val="Heading2"/>
      </w:pPr>
      <w:r>
        <w:t>Experiments</w:t>
      </w:r>
    </w:p>
    <w:p>
      <w:r>
        <w:t>Datasets: Chinese listed firms 2010–2023; ESG scores from Refinitiv, MSCI, Bloomberg, Wind/Hexun; OFDI transactions from fDi Markets, Zephyr, Orbis FDI, MOFCOM; firm financials from CSMAR/Orbis; patents, syndicated loan terms, analyst coverage, and media controversy measures. Unit: firm–host–year; outcome: multinomial mode {M&amp;A, greenfield, other}. Baselines: (A) mixed logit with random firm intercepts and ESG, TFP, ESG×TFP; (B) conditional logit where applicable; (C) linear probability model; (D) Heckman two-step selection into investing + mode choice; (E) Firth‑penalized/logistf and King–Zeng rare‑events corrections for pairwise contrasts; (F) Bayesian multinomial mixed logit (Stan/brms). IV estimators: two‑stage mixed‑logit with instruments = index inclusion dates, staggered regulation rollouts, analyst coverage shocks, and distance-buffered peer-average ESG (baseline buffer 300 km). Event‑study: cohort DID using Callaway–Sant’Anna and Sun–Abraham with pre-registered windows (−2 to +3 years). TFP variants: Levinsohn–Petrin (LP), Ackerberg–Caves–Frazer (ACF), Olley–Pakes (OP) where feasible. Preprocessing: lag ESG and TFP by one year, winsorize financials at 1/99, capital stock via perpetual inventory (δ=0.06 baseline). Evaluation metrics: marginal effects on mode probabilities, odds ratios, ATT/ATET, first-stage F, Anderson–Rubin and CLR IV CIs, bootstrap percentile and bias‑corrected CIs, posterior ESS and Rhat for Bayesian. Experiments: compare baselines A–F; ablation 1: drop TFP interaction; ablation 2: use single-provider ESG vs consensus composite; ablation 3: vary buffer radii (100/300/500 km); ablation 4: replace LP with ACF/OP. Inference: cluster SEs at firm, two‑way firm×host reported, bootstrap 1,000 replications clustered at firm, pre-trend leads up to −3 years required non-significant for causal claims. Power: run Monte Carlo MDE sims for ESG×TFP interaction pre-registered across event-rate scenarios and estimators.</w:t>
      </w:r>
    </w:p>
    <w:p>
      <w:r>
        <w:t xml:space="preserve"> </w:t>
      </w:r>
    </w:p>
    <w:p>
      <w:pPr>
        <w:pStyle w:val="Heading2"/>
      </w:pPr>
      <w:r>
        <w:t>Risk Factors And Limitations</w:t>
      </w:r>
    </w:p>
    <w:p>
      <w:r>
        <w:t>1) Measurement error: ESG scores vary by provider and TFP estimates differ by method; nested re-estimation increases variance. 2) Selection bias: many firms never invest abroad; selection-correction may rely on exclusion restrictions that are themselves contestable. 3) Weak instruments: index events or peer averages may have weak first stages, reducing IV precision and requiring weak-IV robust inference. 4) Spillovers: peer-based instruments risk contamination via geographic or industry spillovers. 5) Rare outcomes: some modes occur infrequently, causing estimator instability and large standard errors. 6) Misclassification: OFDI mode labeling across data providers may be inconsistent and introduce error. 7) Time-varying confounders: unobserved shocks could drive ESG and OFDI simultaneously, biasing estimates. 8) Generalizability: results from Chinese listed firms may not extend to private firms or other countries. 9) Computation and data access: nested bootstraps, Bayesian mixed logit, and large panel IVs are computationally heavy and require full access to proprietary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