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sustainable_cultural_tourism_ethnic_regions</w:t>
      </w:r>
    </w:p>
    <w:p>
      <w:r>
        <w:t xml:space="preserve"> </w:t>
      </w:r>
    </w:p>
    <w:p>
      <w:pPr>
        <w:pStyle w:val="Heading2"/>
      </w:pPr>
      <w:r>
        <w:t>Title</w:t>
      </w:r>
    </w:p>
    <w:p>
      <w:r>
        <w:t>Empirical comparison of six cultural–tourism integration models in China’s ethnic regions using linked agent-based and IO‑CGE modeling and multi-site case studies</w:t>
      </w:r>
    </w:p>
    <w:p>
      <w:r>
        <w:t xml:space="preserve"> </w:t>
      </w:r>
    </w:p>
    <w:p>
      <w:pPr>
        <w:pStyle w:val="Heading2"/>
      </w:pPr>
      <w:r>
        <w:t>Short Hypothesis</w:t>
      </w:r>
    </w:p>
    <w:p>
      <w:r>
        <w:t>Applying culturally tailored product-based integration models leads to ≥10% higher community cultural-vitality index and ≥10% higher net household tourism income over two years compared with concept-based promotion models, holding ecological indicators within predefined safe bounds.</w:t>
      </w:r>
    </w:p>
    <w:p>
      <w:r>
        <w:t xml:space="preserve"> </w:t>
      </w:r>
    </w:p>
    <w:p>
      <w:pPr>
        <w:pStyle w:val="Heading2"/>
      </w:pPr>
      <w:r>
        <w:t>Related Work</w:t>
      </w:r>
    </w:p>
    <w:p>
      <w:r>
        <w:t>Existing work falls into three strands. First, policy and planning studies propose institutional and governance solutions for cultural tourism in ethnic regions but often lack quantitative tests and cross-site comparison. Second, community-based and sustainable tourism literature documents participatory methods, benefit-sharing and FPIC (free, prior, informed consent) practices, but commonly reports single-site case studies without standardized outcome metrics. Third, quantitative socio-ecological models (agent-based models, ABM; and input–output or computable general equilibrium, IO‑CGE) have been used separately to simulate behavior or economy; GIS has been applied for spatial planning and carrying-capacity mapping. Limitations: no prior work combines standardized, validated cultural-vitality metrics with linked ABM↔IO‑CGE simulations and ecological thresholds across multiple ethnic-region case studies; governance, data‑sovereignty, and anti‑capture safeguards are under-specified in quantitative work; model identification, temporal aggregation mismatches, and lack of systematic sensitivity and out‑of‑sample validation are common unresolved issues.</w:t>
      </w:r>
    </w:p>
    <w:p>
      <w:r>
        <w:t xml:space="preserve"> </w:t>
      </w:r>
    </w:p>
    <w:p>
      <w:pPr>
        <w:pStyle w:val="Heading2"/>
      </w:pPr>
      <w:r>
        <w:t>Abstract</w:t>
      </w:r>
    </w:p>
    <w:p>
      <w:r>
        <w:t>This study evaluates six models for integrating culture and tourism in China’s ethnic regions through comparative case studies and coupled computational modeling. We develop a 2×3 framework of integration models (including concept-based promotion and substitution, product-based, and market-based variants) and test them across six ethnic-region pilots (Naxi, Miao, Zhuang, She, Qiang, Tibetan). Empirical data streams—panel household surveys, enterprise surveys, visitor flows, time-use diaries, supply-chain records, ecological baselines, and ethnographic observations—will calibrate an agent-based model (ABM) of household and visitor behavior linked to an IO‑CGE model of local economic flows. Main contributions are (1) a validated cultural-vitality index operationalized across sites, (2) a minimal data dictionary and calibration protocol for ABM↔IO‑CGE coupling, and (3) evidence on which integration models maximize cultural vitality, local income, and ecological safety. Expected outcomes are policy-relevant model comparisons, numerical thresholds for adaptive management, and reproducible protocols for ethical, community‑owned data governance.</w:t>
      </w:r>
    </w:p>
    <w:p>
      <w:r>
        <w:t xml:space="preserve"> </w:t>
      </w:r>
    </w:p>
    <w:p>
      <w:pPr>
        <w:pStyle w:val="Heading2"/>
      </w:pPr>
      <w:r>
        <w:t>Experiments</w:t>
      </w:r>
    </w:p>
    <w:p>
      <w:r>
        <w:t>Datasets: For each of six case-study regions collect (per pilot site) panel household surveys N=120–150 stratified by livelihood, 30–50 local enterprises/artisan units, 12 months continuous visitor-flow logs, 60–80 time-use diaries, supply-chain expenditure matrices from ~40–50 firms, quarterly ecological surveys (vegetation cover, indicator species occupancy, water quality), ethnographic transcripts and PO (participant-observation) logs, and FPIC/benefit-sharing records. Pretest: 30 households and 10 enterprises per site for instrument validation. Baselines: (A) status quo (no integrated intervention), (B) concept-based promotion model, (C) concept-based substitution model, (D) product-based model, (E) market-based model, (F) modeled optimal mix per calibration. Model baselines: ABM only, IO‑CGE only, and coupled ABM↔IO‑CGE. Evaluation metrics: cultural-vitality index (0–100, composed of apprenticeship counts, ritual frequency, repertoire integrity, local-language use, participation by age/sex, artisan outputs, perceived integrity), net household tourism income (real local currency), ecological indicators (percent vegetation ground cover, key species occupancy probability, water turbidity), leakage rate (share of tourism revenue leaving local economy), Gini coefficient of tourism income, FPIC compliance rate, and incidence of grievance cases. Experimental setup: 1) Calibrate ABM parameters and IO‑CGE coefficients using pilot data with Bayesian estimation; 2) Run coupled simulations for each model scenario over 24 simulated months with daily ABM steps and monthly IO‑CGE aggregation; 3) For each scenario run global sensitivity analyses using Latin Hypercube sampling and Monte Carlo (≥1,000 parameter draws) to produce confidence intervals; 4) Out‑of-sample validation: calibrate on four regions, validate on remaining two (rotate holdouts) to assess predictive validity; 5) Ablation studies: (i) remove ecological feedbacks to test their effect on income and vitality; (ii) remove governance/fund-escrow mechanism to test leakage and elite-capture effects; (iii) vary cultural‑vitality index weighting schemes (equal weights vs. PCA-derived weights) and compare sensitivity; 6) Hypothesis test: compare mean changes in cultural-vitality index and net household tourism income between product-based and concept-based promotion scenarios using clustered difference-in-differences (villages as clusters), two-sided tests with α=0.05; 7) Decision thresholds: report proportion of simulation runs meeting both ≥10% income and ≥10-point vitality gains while ecological indicators remain within safe bands. Reproducibility: publish data dictionaries (non-sensitive), model code, priors, and random seeds; with sensitive geolocations spatially masked in public outputs.</w:t>
      </w:r>
    </w:p>
    <w:p>
      <w:r>
        <w:t xml:space="preserve"> </w:t>
      </w:r>
    </w:p>
    <w:p>
      <w:pPr>
        <w:pStyle w:val="Heading2"/>
      </w:pPr>
      <w:r>
        <w:t>Risk Factors And Limitations</w:t>
      </w:r>
    </w:p>
    <w:p>
      <w:r>
        <w:t>Technical failure modes: model mis-specification or poor calibration due to insufficient temporal data; ABM behavioral rules may not capture local decision heuristics. Data and evaluation biases: social desirability in self-reported cultural measures; nonresponse and attrition in panel surveys; ethnographic sampling bias. Identification and endogeneity: tourism flows respond to unobserved shocks (policy, transport) creating endogeneity between tourism and income; temporal lag between ecological change and economic effects complicates causal attribution. Sample and power limits: pilot sizes may be insufficient under high ICCs (&gt;0.10) to detect 10% effects without increased clusters or households. Scalability and compute: coupled ABM↔IO‑CGE ensembles with 1,000+ runs require substantial compute and storage. Generalization limits: results from six Chinese ethnic regions may not transfer to other cultural or national contexts. Legal and governance constraints: PIPL and provincial variation may restrict data sharing and cross-border analysis. Ethical risks: FPIC withdrawal or loss of trust could halt data collection; public release of spatial data risks re-identification of sacred sites. Composite-index risk: a single cultural‑vitality index may mask important subdimensions and heterogenous effects across subgroups.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