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family_support_online_learning_western_china</w:t>
      </w:r>
    </w:p>
    <w:p>
      <w:r>
        <w:t xml:space="preserve"> </w:t>
      </w:r>
    </w:p>
    <w:p>
      <w:pPr>
        <w:pStyle w:val="Heading2"/>
      </w:pPr>
      <w:r>
        <w:t>Title</w:t>
      </w:r>
    </w:p>
    <w:p>
      <w:r>
        <w:t>A mixed-methods study on why family support fails to sustain students' home-based online learning in western China households</w:t>
      </w:r>
    </w:p>
    <w:p>
      <w:r>
        <w:t xml:space="preserve"> </w:t>
      </w:r>
    </w:p>
    <w:p>
      <w:pPr>
        <w:pStyle w:val="Heading2"/>
      </w:pPr>
      <w:r>
        <w:t>Short Hypothesis</w:t>
      </w:r>
    </w:p>
    <w:p>
      <w:r>
        <w:t>Lower parental digital literacy combined with greater parental time poverty causes a decline in students' sustained engagement with home-based online learning in western China households.</w:t>
      </w:r>
    </w:p>
    <w:p>
      <w:r>
        <w:t xml:space="preserve"> </w:t>
      </w:r>
    </w:p>
    <w:p>
      <w:pPr>
        <w:pStyle w:val="Heading2"/>
      </w:pPr>
      <w:r>
        <w:t>Related Work</w:t>
      </w:r>
    </w:p>
    <w:p>
      <w:r>
        <w:t>Existing research compares technology-centered remedies (device distribution, connectivity subsidies) and school-driven interventions (synchronous lessons, platform rollouts) with family-focused supports (parent coaching, guidance). Quantitative studies often use longitudinal LMS logs and growth models but assume missing-at-random (MAR) and under-address attrition bias. Qualitative work documents household routines and cultural factors but is rarely integrated with causal identification. Natural-experiment approaches (phased rollouts, IVs) provide exogenous variation but are limited by weak instruments and few pre-treatment waves. Limitations: (1) insufficient integration of culturally adapted qualitative priors into statistical missing-data models, (2) weak pre-specification of sustainability endpoints and decision rules, (3) limited handling of missing-not-at-random (MNAR) processes in clustered longitudinal data, and (4) scarce jointly reported reproducible MNAR pipelines and minimal runnable examples.</w:t>
      </w:r>
    </w:p>
    <w:p>
      <w:r>
        <w:t xml:space="preserve"> </w:t>
      </w:r>
    </w:p>
    <w:p>
      <w:pPr>
        <w:pStyle w:val="Heading2"/>
      </w:pPr>
      <w:r>
        <w:t>Abstract</w:t>
      </w:r>
    </w:p>
    <w:p>
      <w:r>
        <w:t>Problem: Family support often does not produce lasting home-based online learning outcomes; the mechanisms in western China households are unclear. Approach: We combine clustered longitudinal surveys, high-frequency LMS logs, and repeated in-depth household interviews in a mixed-methods design. Primary outcomes are pre-specified sustainability endpoints: sustained engagement trajectory, self-regulated learning (SRL) maintenance, and on-time task completion. Main contribution: We deliver a pre-registered, reproducible MNAR sensitivity pipeline that links ethnographic context to formal priors, compares multilevel MI + delta adjustments, stabilized IPW, and hierarchical shared-parameter joint models, and reports diagnostic thresholds (R-hat, ESS, LOO). We include simulation-based power guidance across ICCs and attrition scenarios and minimal runnable model snippets. Expected outcome: Transparent, testable estimates of the causal influence of parental factors (digital literacy, time poverty) on sustainability, identification of tipping points where family support fails, and concrete evidence to inform policy choices on coaching, device programs, or community hubs.</w:t>
      </w:r>
    </w:p>
    <w:p>
      <w:r>
        <w:t xml:space="preserve"> </w:t>
      </w:r>
    </w:p>
    <w:p>
      <w:pPr>
        <w:pStyle w:val="Heading2"/>
      </w:pPr>
      <w:r>
        <w:t>Experiments</w:t>
      </w:r>
    </w:p>
    <w:p>
      <w:r>
        <w:t>Datasets: multi-stage sample of 60–100 schools × ~15–25 students per school; measurement waves T=6–8 over 12 months; data sources: LMS logs (daily logins, session length, assignment timestamps), household surveys (SRL scale, SES, caregiver occupation, time-use diary), device/uptime logs, and repeated qualitative interview transcripts for a purposive subsample (6–8 case communities). Baselines: (A) mixed-effects three-level growth model (time within student within school) under MAR; (B) stabilized time-varying IPW (pooled logistic for dropout); (C) multilevel multiple imputation (jomo/mice) with Rubin pooling; (D) pattern-mixture with delta grid (−0.5 to +0.5 SD in 0.1 steps); (E) hierarchical shared-parameter joint longitudinal–survival model (JMbayes2 or brms/Stan). Evaluation metrics: primary endpoints (1) proportion sustaining ≥70% weekly LMS active-days for six consecutive months; (2) SRL change within ±5% baseline-to-12-month; (3) on-time assignment rate ≥80% averaged over six months. Report average treatment effect (ATE) on binary endpoints, standardized mean differences (Cohen's d) for continuous SRL, RMSE and coverage from simulations, IPW weight diagnostics (mean, SD, truncation percentiles), MCMC diagnostics (R-hat, ESS), and tipping-point delta where inference changes. Experimental setup: (1) apply all methods to observed pilot data; (2) ablation: run analyses without cultural priors vs with priors encoded as informative Bayesian priors or restricted delta bounds; (3) simulation grid: vary school ICC in {0.05,0.10,0.15}, household ICC in {0.15,0.25,0.35}, attrition rates in {10%,25%,40%}, and MNAR mechanisms (latent low-engagement dropout; outage-triggered dropout); report bias, RMSE, 95% interval coverage, and required N to detect ATE=0.20 SD with 80% power. Model checks and comparisons: posterior predictive checks, LOO/WAIC differences, and visualization of robustness bands across MNAR grids.</w:t>
      </w:r>
    </w:p>
    <w:p>
      <w:r>
        <w:t xml:space="preserve"> </w:t>
      </w:r>
    </w:p>
    <w:p>
      <w:pPr>
        <w:pStyle w:val="Heading2"/>
      </w:pPr>
      <w:r>
        <w:t>Risk Factors And Limitations</w:t>
      </w:r>
    </w:p>
    <w:p>
      <w:r>
        <w:t>1) MNAR bias: dropout correlated with unobserved latent engagement may remain even after auxiliary variables, producing biased causal estimates. 2) Measurement error: SRL scales and self-reports may suffer social desirability and translation issues across languages. 3) High attrition: &gt;35% unknown dropout will reduce power and invalidate some DID/event-study assumptions. 4) Small cluster counts: &lt;50 schools can undermine cluster-robust inference and wild-bootstrap reliability. 5) Informative cluster-size or cross-classification (students within households and schools) may complicate model specification. 6) Limited generalizability: findings may not transfer beyond western China cultural and infrastructural contexts. 7) Resource constraints: intensive qualitative work and Bayesian joint models increase field costs and computation time (longer MCMC runs). 8) Data governance: small-community anonymization limits data sharing and reproducibility without strict access controls.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