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tourism_growth_environment_cs_ardl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causal links between tourism, economic growth, and CO2 emissions in top tourist destinations using the CS-ARDL approach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Increases in tourism receipts causally raise GDP per capita and causally raise CO2 emissions per capita in the sampled top tourist destinations over 1995–2023.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use pooled regressions, country fixed-effects panels, error-correction and ARDL (autoregressive distributed lag) methods, system GMM, spatial econometrics, and instrumental-variables to study tourism–growth and tourism–environment links. Common limitations are: failure to account for cross-sectional dependence (shared shocks across countries), over-reliance on homogeneous slope assumptions despite heterogeneous country responses, sensitivity to weak instruments in small panels, and attenuation bias from noisy proxies (night-time lights, mobility, social media). Input-output (IO) multiplier studies often assume fixed technical coefficients and ignore price/capacity adjustments. Measurement-error corrections (SIMEX, errors-in-variables) are used sparingly and rarely combined with cross-section-aware dynamic estimators. In short, prior work struggles to jointly handle cross-country dependence, proxy measurement error, robust causal identification, and realistic IO/CGE uncertainty.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causal effects of tourism on economic growth and CO2 emissions across the top tourist destinations from 1995 to 2023 using the cross-section-augmented ARDL (CS-ARDL) framework. CS-ARDL is a dynamic panel method that augments standard ARDL with cross-section averages to control common shocks and cross-sectional dependence (shared surprises affecting many countries). We pair CS-ARDL with instrument dossiers (visa changes, historical air connectivity, exogenous shocks) and measurement-error calibration for remote-sensing and mobility proxies (SIMEX and Bayesian errors-in-variables). Main contributions: (1) a pre-specified identification and falsification protocol for each instrument; (2) a calibrated visitation index combining TSA subsamples with night-time lights and mobility; and (3) robust short-run and long-run elasticities of tourism on GDP and CO2 with uncertainty propagated into IO/SAM impact translation. Expected outcomes are credible causal estimates, quantified uncertainty for policy scenarios, and transparent pre-registered methods that inform destination-level sustainable tourism policy.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annual panel 1995–2023 for the top 10 tourist destinations by arrivals (country list fixed ex ante); tourism receipts and tourist-days from TSA/UNWTO and national tourism authorities (validation subsample of ≥20–30% destinations with full TSA); GDP and GDP per capita from World Bank WDI; CO2 emissions (total and per capita) from EDGAR or WDI; energy use and sectoral employment from national accounts; remote-sensing proxies: VIIRS/DMSP night-time lights, Sentinel/Landsat NDVI/EVI trends, OpenStreetMap POI density; mobility proxies from Google/Apple where available. Baselines: pooled OLS, country fixed-effects panel, standard ARDL, system GMM (Arellano-Bover/Blundell-Bond), IV-2SLS with LIML fallback, spatial SAR/SDM. Proposed estimator: CS-ARDL (cross-section averages augmented) with documented instruments and proxy calibration. Evaluation metrics: short-run and long-run elasticity point estimates with 95% CI, bias and RMSE versus validation TSA in out-of-sample tests, coverage probability of CIs (simulation), first-stage F-statistics, Hansen/J overidentification p-values, power to detect elasticities (80% threshold), and IO/SAM output ranges (percentile bands). Experimental setup: 1) Preprocess and harmonize units and deflate monetary series; 2) Build calibrated visitation index: regress TSA on proxies in validation subsample, estimate weights, apply SIMEX and Bayesian EIV to quantify attenuation, produce index with prediction intervals; 3) Test for cross-sectional dependence (Pesaran CD) and include cross-section averages in CS-ARDL; 4) Estimate short-run and long-run tourism→GDP and tourism→CO2 elasticities with CS-ARDL; run instrument diagnostics (first-stage F, Kleibergen–Paap, Hansen J) and falsification tests (placebo outcomes, lead tests, spatial placebo); 5) Compare estimators: report table of estimates for baselines and CS-ARDL; 6) Ablations: (A) CS-ARDL without proxy calibration, (B) CS-ARDL without cross-section augmentation, (C) CS-ARDL with alternate instrument sets, (D) IV-GMM vs LIML/AR intervals; 7) Monte Carlo experiments: synthetic panels calibrated to pilot sigma^2, vary N in {10,30,50}, T in {10,20,29}, ICC and spatial autocorrelation, serial correlation, nonstationary trends, staggered shocks; record bias, RMSE, coverage, and power; 8) IO/SAM translation: convert corrected tourist-day shocks to final-demand vectors by origin/season spend distributions, run IO multipliers under short-run fixed-capacity and alternative CGE-like price-adjustment scenarios, and report ensemble percentiles.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Small sample size: top-10 destinations gives few cross-sectional units, limiting statistical power and instrument strength; many robustness methods assume larger N. Measurement error: proxies (night lights, mobility, social-media) may have non-classical errors (correlated with GDP), causing biased corrections. Instrument validity: historical air-connectivity or policy instruments can violate exclusion if they correlate with unobserved trends (e.g., airport upgrades following growth). Cross-sectional dependence: shared global shocks may not be fully captured by cross-section averages if heterogeneity in shock transmission is large. IO/SAM translation limits: fixed technical coefficients ignore price and capacity constraints; CGE alternatives add complexity and require extra calibration. ESTI (ecological threshold) uncertainty: component weights and benchmarks are subjective and data for some ecological indicators may be sparse. Data access and ethics: restricted TSA details, proprietary mobility data, and privacy requirements may limit validation subsamples. Generalizability: results for top destinations may not hold for smaller or less-developed tourism economies.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