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global_migration_equity_bibliometrics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Causal analysis of country-level research investment and geographic representation in migration scholarship using longitudinal Scopus bibliometrics (1996–2022)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Increases in a country's research investment cause a proportional increase in that country's share of migration-related publications, after controlling for population and migration stock.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uses bibliometric mapping, co-authorship networks, and normalized publication counts to document geographic concentration of academic output and Global North dominance in migration studies. Standard analyses report raw or per-capita counts, country collaboration centrality, and topic distributions over time. Limitations include heavy reliance on single indexes (which creates English-language and journal-coverage bias), inconsistent affiliation counting methods (full counting versus fractional counting), mostly descriptive cross-sectional designs that do not identify causal drivers, sparse accounting for country-level research investment as an explanatory variable, and limited reproducibility or privacy-aware workflows. Existing causal studies linking policy or funding to national output are rare and often use weak instruments or are confined to high-income settings. Measures of LMIC leadership, career-line commitments, and data-sovereignty practices are rarely operationalized in bibliometric research.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tests whether country-level research investment drives national representation in migration scholarship. Using a curated longitudinal Scopus corpus of migration-related publications (1996–2022; &gt;125,000 records) linked to country-year indicators (population, migration stock/flows, GDP per capita, and research expenditure), we estimate the effect of research funding on a country’s share of migration publications. We apply count and share regression models and causal estimators (instrumental variables and difference-in-differences where policy shocks permit). Main contributions are: (1) a reproducible, provenance-tracked pipeline for constructing country-year publication metrics; (2) meta-analytic priors and sensitivity tables for key parameters (cluster effects and detectable effect sizes); and (3) an uncertainty-aware causal analysis that quantifies how much funding shifts representation while exposing coverage and language biases. Expected outcome: quantified, policy-relevant estimates of the responsiveness of migration research output to investment, and a public diagnostic of underrepresented countries and structural barriers to equitable knowledge production.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(1) Scopus export of migration-tagged records 1996–2022 (&gt;125,000 rows) with title, abstract, author affiliations, journal, year, and DOI; (2) World Bank / UNESCO country-year series: GERD (research expenditure), GDP per capita, population; (3) UN DESA migration stock and bilateral flows; (4) remittance inflows (World Bank); (5) country policy events (e.g., creation of research councils, major funding programs) and metadata for language/journal coverage. Preprocessing: disambiguate affiliations; compute country-year publication counts using full counting and fractional counting (fractional = split credit by number of distinct country affiliations per paper); compute country share = country_publications / global_migration_publications_year. Baselines: (A) descriptive baseline: per-capita publication rates; (B) OLS/GLM poisson or negative-binomial count models without causal corrections; (C) fractional vs full counting comparison. Main models: (1) Fixed-effects panel regression: share_it = alpha_i + gamma_t + beta * log(GERD_it) + controls (population, migration_stock_it, GDPpc_it) — estimates within-country effects. (2) Instrumental variables (IV): instrument GERD_it using plausibly exogenous shocks (e.g., lagged donor funding flows or regional research-funding policy changes) — report first-stage F-statistic and IV estimates; note that IV addresses endogeneity (when investment and publication co-move). (3) Difference-in-differences (DiD): where discrete national funding program rollouts exist, compare treated vs control countries pre/post with event-study plots. Evaluation metrics: coefficient estimates and standard errors, elasticity of share to GERD (beta), goodness-of-fit (AIC/BIC), RMSE for predictive checks, representation gap metric (publications per 1,000 migrants), robustness across counting rules, and sensitivity to excluding English-language journals. Ablations: (i) model without migration controls; (ii) full counting vs fractional counting; (iii) excluding journals outside top quartile by impact; (iv) instrument choices. Robustness suite: clustered SEs, placebo outcomes (non-migration social-science output), pre-trend tests for DiD, Rosenbaum bounds for hidden bias. Reproducibility: seed all random processes, publish code notebooks, provide metadata and provenance for dataset construction.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Coverage bias: Scopus under-represents non-English and local journals; results may undercount LMIC scholarly output. 2) Affiliation assignment error: author affiliation strings may misattribute country credit; counting rules (full vs fractional) produce materially different shares. 3) Endogeneity: research investment and publications may be jointly determined by unobserved factors (political priority), limiting causal claims if instruments are invalid. 4) Instrument validity risk: candidate instruments (donor flows, policy rollouts) may violate exclusion restrictions (they might affect publications through other channels). 5) Measurement error: GERD reported quality varies by country and year, producing attenuation bias. 6) External validity: findings generalize to indexed journal output but not to policy reports, grey literature, or community knowledge. 7) Privacy and governance: disaggregated affiliation and author-level analyses may raise re-identification risks for small-country or niche-author clusters. 8) Computational limits: geocoding, disambiguation, and provenance tracking for &gt;125k records require nontrivial compute and careful reproducible pipelines. 9) Fairness and threshold setting: numeric thresholds for underrepresentation and model acceptance may be context-dependent and not universally defensible.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