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informal_shade_thermalscapes</w:t>
      </w:r>
    </w:p>
    <w:p>
      <w:r>
        <w:t xml:space="preserve"> </w:t>
      </w:r>
    </w:p>
    <w:p>
      <w:pPr>
        <w:pStyle w:val="Heading2"/>
      </w:pPr>
      <w:r>
        <w:t>Title</w:t>
      </w:r>
    </w:p>
    <w:p>
      <w:r>
        <w:t>Assessing the thermal impact of informal shading on urban retail streets using ethnography, participatory biosensing, fixed sensors and drone radiometry</w:t>
      </w:r>
    </w:p>
    <w:p>
      <w:r>
        <w:t xml:space="preserve"> </w:t>
      </w:r>
    </w:p>
    <w:p>
      <w:pPr>
        <w:pStyle w:val="Heading2"/>
      </w:pPr>
      <w:r>
        <w:t>Short Hypothesis</w:t>
      </w:r>
    </w:p>
    <w:p>
      <w:r>
        <w:t>Informal shading structures (vendor tarps/awnings) causally reduce local mean radiant temperature (MRT) and Universal Thermal Climate Index (UTCI) relative to matched open-sun street segments, after controlling for canyon geometry, wind, surface properties and anthropogenic heat.</w:t>
      </w:r>
    </w:p>
    <w:p>
      <w:r>
        <w:t xml:space="preserve"> </w:t>
      </w:r>
    </w:p>
    <w:p>
      <w:pPr>
        <w:pStyle w:val="Heading2"/>
      </w:pPr>
      <w:r>
        <w:t>Related Work</w:t>
      </w:r>
    </w:p>
    <w:p>
      <w:r>
        <w:t>Existing work shows that shade (trees, built canopies, temporary covers) lowers surface and air temperatures and improves perceived comfort in hot cities. Studies using sensors and remote sensing have quantified surface cooling from green and built shade but often lack dense ground validation and uncertainty propagation from radiometry to human thermal indices. Ethnographic research documents how informal shading supports street vending and pedestrian practices, yet few studies combine qualitative methods with participatory biosensing (wearable physiological measures) to link thermal exposure to embodied responses. Quasi-experimental and GIS-based analyses exist for formal interventions, but approaches commonly do not pre-specify staggered rollout estimators, fail to model spatial spillovers, or omit cluster-robust SE and measurement error in MRT/UTCI transforms. Drone thermal mapping is used to map surface temperature but is frequently limited by emissivity uncertainty and sparse in-scene calibration. Gaps: (1) causal identification for informal, non-random shading; (2) a reproducible surface→MRT→UTCI transform with Monte Carlo uncertainty; (3) integration of ethnography and participatory biosensing to interpret sensor signals and retail outcomes.</w:t>
      </w:r>
    </w:p>
    <w:p>
      <w:r>
        <w:t xml:space="preserve"> </w:t>
      </w:r>
    </w:p>
    <w:p>
      <w:pPr>
        <w:pStyle w:val="Heading2"/>
      </w:pPr>
      <w:r>
        <w:t>Abstract</w:t>
      </w:r>
    </w:p>
    <w:p>
      <w:r>
        <w:t>Urban retail streets in hot tropical cities often rely on informal shading (vendor tarps, awnings) but the quantitative thermal effects and embodied impacts are poorly measured. We propose a mixed-methods study combining stratified sensor deployments, drone radiometry, ethnographic observation, and participatory biosensing to quantify how informal shading modifies local thermal environments and affects pedestrian exposure. Core contributions are: (1) a pre-registered causal inference plan using staggered difference-in-differences estimators for non-random shading changes; (2) a reproducible transform pipeline from surface radiometric temperature to MRT and UTCI with Monte Carlo uncertainty propagation; and (3) socio-spatial integration linking shading typologies to dwell time and vendor-income proxies. Expected outcomes are rigorous effect estimates (ΔMRT, ΔUTCI per m² shaded), validated uncertainty bounds, and policy-relevant thresholds for temporary-permit guidance. Results will inform municipal decisions on legitimizing informal shading while centering vendor livelihoods and thermal equity.</w:t>
      </w:r>
    </w:p>
    <w:p>
      <w:r>
        <w:t xml:space="preserve"> </w:t>
      </w:r>
    </w:p>
    <w:p>
      <w:pPr>
        <w:pStyle w:val="Heading2"/>
      </w:pPr>
      <w:r>
        <w:t>Experiments</w:t>
      </w:r>
    </w:p>
    <w:p>
      <w:r>
        <w:t>Datasets: (1) Field sensor network in Cuiabá: 10 high-grade stations (Vaisala HMP155, PT100 globes, ultrasonic anemometers) and 36 low-cost shielded nodes (SHT35 with aspirated shields), hourly logging for 4+ weeks per intensive campaign; (2) Drone radiometric thermal orthomosaics (5–10 cm GSD) synchronized with RGB and in-scene high/low emissivity panels; (3) Ethnographic dataset: N=80–100 semi-structured interviews, photovoice and participatory maps; (4) Participatory biosensing subset: N≈30 volunteers wearing heart-rate and skin-temperature loggers during 2–4 hour shifts; (5) Auxiliary data: pedestrian counts, vendor sales proxies (short surveys), INMET meteorological records, municipal permit/enforcement logs. Baselines: formal built shade segments (arcades/trees) and open-sun segments; synthetic-control counterfactuals constructed from matched segments. Evaluation metrics: ΔMRT (°C) midday means, ΔUTCI (°C), PET and WBGT where relevant; per-m² cooling (°C/m² shaded); dwell time (minutes), vendor income proxy (%) pre/post; RMSE and bias of surfaceT→MRT transform; 95% CI coverage of Monte Carlo uncertainty module; statistical significance (p&lt;0.05) and cluster-robust SE; spillover indicators. Experimental setup: stratified sampling of ~90 street segments (30 informal, 30 built, 30 open) with Neyman allocation of sensors. Pre-registration: estimands, covariates, and staggered-treatment estimators (Callaway &amp; Sant’Anna or Sun &amp; Abraham) chosen prior to analysis. Models: (A) Callaway &amp; Sant’Anna difference-in-differences for staggered changes with cluster-robust SE at segment cluster; (B) event-study for lead/lag dynamics; (C) Bayesian hierarchical spatio-temporal model (INLA+SPDE) with measurement-error terms to estimate spatial patterns and per-area effects. Uncertainty propagation: Monte Carlo sampling of sensor errors, emissivity distributions, and atmospheric correction parameters to produce 95% CIs for MRT/UTCI. Ablation studies: (1) Full pipeline vs. pipeline without drone radiometry to measure added value of high-resolution surface mapping (compare RMSE, effect size precision); (2) Full model vs. model excluding ethnographic covariates (access rules, shade tenure) to quantify bias from omitted social variables. Validation: 72-hour co-location of low-cost nodes with high-grade stations to estimate ICC, time-correlation and RMSE; use these pilot estimates to report detectable effect sizes and power for subgroup analyses (gender, vendor type).</w:t>
      </w:r>
    </w:p>
    <w:p>
      <w:r>
        <w:t xml:space="preserve"> </w:t>
      </w:r>
    </w:p>
    <w:p>
      <w:pPr>
        <w:pStyle w:val="Heading2"/>
      </w:pPr>
      <w:r>
        <w:t>Risk Factors And Limitations</w:t>
      </w:r>
    </w:p>
    <w:p>
      <w:r>
        <w:t>Technical failure modes: sensor drift, aspiration/fan failures in low-cost shields, drone radiometer calibration errors (emissivity and atmospheric correction), and time-sync errors between modalities. Data biases: non-random placement of informal shading causing residual confounding and spatial spillovers; small sample sizes for some subgroups limiting statistical power. Measurement uncertainty: emissivity and atmospheric path corrections may dominate radiometric→surfaceT uncertainty; converting surface temperature to MRT requires assumptions about view factors and may add error. Scalability/compute: INLA+SPDE spatial models and drone mosaicking demand high compute and storage. Generalization limits: results from Cuiabá may not transfer to different climates, street geometries, or regulatory contexts. Privacy and operational risks: aerial imagery and vendor-level data raise consent and disclosure issues; equipment theft and vandalism in vendor areas can reduce effective sample. Evaluation limits: vendor income proxies from short surveys are noisy and causal links to thermal changes may be indirect.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