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ritual_stance_effort</w:t>
      </w:r>
    </w:p>
    <w:p>
      <w:r>
        <w:t xml:space="preserve"> </w:t>
      </w:r>
    </w:p>
    <w:p>
      <w:pPr>
        <w:pStyle w:val="Heading2"/>
      </w:pPr>
      <w:r>
        <w:t>Title</w:t>
      </w:r>
    </w:p>
    <w:p>
      <w:r>
        <w:t>Preregistered multisite randomized experiment testing whether ritual framing changes perceived effort</w:t>
      </w:r>
    </w:p>
    <w:p>
      <w:r>
        <w:t xml:space="preserve"> </w:t>
      </w:r>
    </w:p>
    <w:p>
      <w:pPr>
        <w:pStyle w:val="Heading2"/>
      </w:pPr>
      <w:r>
        <w:t>Short Hypothesis</w:t>
      </w:r>
    </w:p>
    <w:p>
      <w:r>
        <w:t>Framing identical actions as rituals (versus neutral descriptions) causally reduces participants' perceived effort.</w:t>
      </w:r>
    </w:p>
    <w:p>
      <w:r>
        <w:t xml:space="preserve"> </w:t>
      </w:r>
    </w:p>
    <w:p>
      <w:pPr>
        <w:pStyle w:val="Heading2"/>
      </w:pPr>
      <w:r>
        <w:t>Related Work</w:t>
      </w:r>
    </w:p>
    <w:p>
      <w:r>
        <w:t>Prior work has shown that ritualized presentation of actions can change judgments of value and experience, and some studies report reduced perceived effort and greater positive affect when activities are framed as ritual. Existing approaches often use single-site samples, small stimulus sets, or post-hoc analyses, and they frequently rely on self-report without treating stimuli as random factors. Limitations include low statistical power for small effects, lack of stimulus sampling (which risks stimulus-specific findings), weak handling of participant×stimulus clustering (ignoring random effects that capture variance across people and items), inadequate preregistration of priors and decision rules, and incomplete cross-cultural validation. Many studies also do not measure mediators with temporal separation or test robustness to demand characteristics (for example, whether the word “ritual” drives responses). These gaps leave open whether observed effects are general, small but reliable, or artifacts of design choices.</w:t>
      </w:r>
    </w:p>
    <w:p>
      <w:r>
        <w:t xml:space="preserve"> </w:t>
      </w:r>
    </w:p>
    <w:p>
      <w:pPr>
        <w:pStyle w:val="Heading2"/>
      </w:pPr>
      <w:r>
        <w:t>Abstract</w:t>
      </w:r>
    </w:p>
    <w:p>
      <w:r>
        <w:t>This project tests whether presenting identical actions as rituals, compared with neutral descriptions, changes how people perceive effort. We propose a preregistered, reproducible multisite study that uses wide stimulus sampling and mixed-effects analysis to separate participant, stimulus, and site variation. The main contribution is a robust test of the "ritual stance" hypothesis with explicit causal measurement timing: mediators (attention and intentionality judgments) are collected before primary effort ratings to probe mechanism while limiting reporting bias. The study emphasizes transparent power and identifiability simulations, principled priors, and a clear multiplicity plan so small effects can be interpreted reliably. Expected outcomes are either a replicable framing effect on perceived effort or a null result that clarifies boundaries of ritual framing, plus validated procedures (stimulus sampling, mediation timing, and cross-cultural SOPs) that other researchers can reuse. Results will inform theories about when symbolic framing shifts cost–benefit appraisals and perceived task difficulty.</w:t>
      </w:r>
    </w:p>
    <w:p>
      <w:r>
        <w:t xml:space="preserve"> </w:t>
      </w:r>
    </w:p>
    <w:p>
      <w:pPr>
        <w:pStyle w:val="Heading2"/>
      </w:pPr>
      <w:r>
        <w:t>Experiments</w:t>
      </w:r>
    </w:p>
    <w:p>
      <w:r>
        <w:t>Datasets: recruit participants from at least 4 cultural sites; per-site N target 150–300; pooled N targets: 600 (80% power for d≈0.25) and 1,200 (80–90% power for interactions d≈0.15–0.20). Stimuli: a pool of ≥20 distinct action exemplars (same motor sequences) per framing condition. Baselines: neutral behavioral description (baseline), descriptive symbolic framing without the word "ritual" (baseline 2), and explicit "ritual" label (treatment). Metrics: primary outcome = perceived effort (multi-item scale, z-scored composite); co-primary = willingness-to-accept (WTA) or willingness-to-pay (WTP) bids (incentive compatible), and intentionality rating; secondary = happiness/affect, attention measures (self-report), eye-tracking metrics (gaze dwell time) where available, and memory accuracy. Evaluation metrics: effect size (Cohen's d) on primary outcome, mixed-effects model fixed-effect estimate with 95% credible/confidence interval, Bayes factor for primary effect, model fit diagnostics (Rhat &lt; 1.05, effective sample size &gt; 200 for Bayesian models), and power/coverage in simulation. Experimental setup: between-subject framing assignment; within-subject stimulus sampling (each participant sees k=6 randomly sampled exemplars from pool, random seed fixed); mediators measured immediately after each stimulus and before primary outcome; include brief filler task between mediator and outcome. Analysis: preregistered multilevel mixed-effects models with random intercepts for participant, stimulus, and site, and random slopes for framing by participant and by stimulus when supported. Example model formula (plain text): outcome ~ framing * mechanism_clarity * audience + (1 + framing | participant) + (1 + framing | stimulus) + (1 | site). Estimation: Bayesian multilevel models with weakly informative priors (fixed effects Normal(0,1) on standardized outcomes; SD priors half-Normal(0,1)); report prior-predictive checks and sensitivity to priors. Comparisons/ablations: (A) label-variant ablation: compare explicit label vs symbolic wording vs neutral to test semantic-demand effects; (B) mediation ablation: estimate mediation with temporally separated mediators versus simultaneous reports to test contamination; (C) biometrics ablation: run analyses with and without eye-tracking sites to assess opt-in bias. Baseline models: simple pooled OLS and mixed models without stimulus random effects to show bias from ignoring stimulus sampling. Pre-registration: full simulation scripts, seeds, Dockerfile, model formulas, and decision table for multiplicity and missing-data rules will be uploaded before data collection.</w:t>
      </w:r>
    </w:p>
    <w:p>
      <w:r>
        <w:t xml:space="preserve"> </w:t>
      </w:r>
    </w:p>
    <w:p>
      <w:pPr>
        <w:pStyle w:val="Heading2"/>
      </w:pPr>
      <w:r>
        <w:t>Risk Factors And Limitations</w:t>
      </w:r>
    </w:p>
    <w:p>
      <w:r>
        <w:t>Demand characteristics: participants may change answers if they recognize manipulation (e.g., the word "ritual"). Measurement invariance: cross-cultural differences in response styles may prevent scalar comparability of scales. Power and ICC assumptions: if intra-class correlations (ICC) are higher than assumed, effective power will drop. Stimulus generalization: effects may be stimulus-specific despite large pools. Eye-tracking opt-in bias: biometric data will be optional and may select non-representative subsamples. Mediation identification limits: measuring mediators after exposure does not guarantee unconfounded causal mediation; unobserved mediator–outcome confounders can bias indirect-effect estimates. Model non-identifiability: complex formal-parameter models (e.g., gamma, alpha, beta, s) may not be recoverable without sufficient participants and stimuli. Missing data and attrition: high dropout or item-missing rates reduce usable sample and bias estimates if not missing at random. Data governance: cross-border data transfer and storage of biometric signals raise privacy and legal constraints. Scalability: multisite coordination increases logistical complexity and cost.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