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work_family_equilibrium_proactivity</w:t>
      </w:r>
    </w:p>
    <w:p>
      <w:r>
        <w:t xml:space="preserve"> </w:t>
      </w:r>
    </w:p>
    <w:p>
      <w:pPr>
        <w:pStyle w:val="Heading2"/>
      </w:pPr>
      <w:r>
        <w:t>Title</w:t>
      </w:r>
    </w:p>
    <w:p>
      <w:r>
        <w:t>Polynomial regression and response surface analysis of work–family equilibrium effects on employee proactive behavior</w:t>
      </w:r>
    </w:p>
    <w:p>
      <w:r>
        <w:t xml:space="preserve"> </w:t>
      </w:r>
    </w:p>
    <w:p>
      <w:pPr>
        <w:pStyle w:val="Heading2"/>
      </w:pPr>
      <w:r>
        <w:t>Short Hypothesis</w:t>
      </w:r>
    </w:p>
    <w:p>
      <w:r>
        <w:t>Greater alignment toward work–family facilitation relative to conflict (a more facilitative work–family equilibrium) causes higher employee proactive behavior, and this causal pathway operates through reduced emotional exhaustion and increased psychological capital.</w:t>
      </w:r>
    </w:p>
    <w:p>
      <w:r>
        <w:t xml:space="preserve"> </w:t>
      </w:r>
    </w:p>
    <w:p>
      <w:pPr>
        <w:pStyle w:val="Heading2"/>
      </w:pPr>
      <w:r>
        <w:t>Related Work</w:t>
      </w:r>
    </w:p>
    <w:p>
      <w:r>
        <w:t>Prior research shows work–family conflict tends to reduce proactive behaviors and work–family facilitation tends to increase them. Existing approaches commonly use simple additive or difference scores to represent balance, cross-sectional designs, or single-level regression, which cannot capture nonlinear congruence or imbalance effects. Longitudinal studies often use standard cross‑lagged panel models but do not separate stable between-person differences from within-person fluctuations, risking confounded estimates. Mediation evidence (emotional exhaustion mediating conflict → proactivity) exists but is often tested with observed composites and without multilevel mediation methods. Interventions have been evaluated in cluster designs but compliance and contamination are not always modeled (limiting CACE inference). Limitations therefore include (1) inadequate modeling of congruence/imbalance between facilitation and conflict, (2) measurement error from observed composites, (3) weak separation of within- and between-person effects, and (4) limited causal leverage when noncompliance or time-varying confounding is present.</w:t>
      </w:r>
    </w:p>
    <w:p>
      <w:r>
        <w:t xml:space="preserve"> </w:t>
      </w:r>
    </w:p>
    <w:p>
      <w:pPr>
        <w:pStyle w:val="Heading2"/>
      </w:pPr>
      <w:r>
        <w:t>Abstract</w:t>
      </w:r>
    </w:p>
    <w:p>
      <w:r>
        <w:t>This study tests how different combinations of work–family conflict and work–family facilitation (the work–family equilibrium) affect employee proactive behavior, and whether emotional exhaustion and psychological capital mediate that effect. We apply polynomial regression with response surface analysis to model congruence and imbalance between conflict and facilitation, combined with multilevel structural equation models that separate within- and between-person variance. Data come from employee surveys, daily diaries, supervisor reports, and HR records, analyzed with random-intercept cross-lagged panel models and RI‑MSEM for diary data. Main contributions are (1) using polynomial regression + response surface to identify nonlinear and asymmetric equilibrium effects, (2) estimating mediated within-person pathways via latent-variable MSEM to reduce measurement error, and (3) evaluating causal robustness with Monte Carlo power simulations, IPW for time-varying confounding, and cluster‑RCT/CACE scenarios. Expected outcome: clear empirical mapping of how facilitation vs. conflict combinations predict proactive behavior, and quantification of indirect effects through emotional exhaustion and psychological capital to inform theory and workplace interventions.</w:t>
      </w:r>
    </w:p>
    <w:p>
      <w:r>
        <w:t xml:space="preserve"> </w:t>
      </w:r>
    </w:p>
    <w:p>
      <w:pPr>
        <w:pStyle w:val="Heading2"/>
      </w:pPr>
      <w:r>
        <w:t>Experiments</w:t>
      </w:r>
    </w:p>
    <w:p>
      <w:r>
        <w:t>Datasets: (A) Pilot diary: N=60–80 employees, 10 diary days, daily measures of WFE components, emotional exhaustion, psychological capital, and proactive behaviors; (B) Main diary: N=250–350 employees across 10–14 days with supervisor ratings and HR covariates; (C) Cluster‑RCT subset: departments randomized to an FSSB (family-supportive supervisor behavior) training with varying compliance. Baselines: (1) linear mixed model with additive WFC (work–family conflict) and WFF (work–family facilitation) terms; (2) difference-score (WFF−WFC) regression; (3) standard CLPM and single‑level mediation with observed composites. Proposed method: multilevel polynomial regression (include WFC, WFF, WFC^2, WFF^2, WFC×WFF) with response surface analysis plus MSEM mediation (latent variables). Evaluation metrics: standardized lag coefficients and 95% CIs; indirect effect estimates with bootstrap (5,000 resamples) and Bayesian credible intervals; model fit indices for SEM (CFI, TLI, RMSEA, SRMR); AIC/BIC for model comparison; predictive R^2 and out‑of‑sample prediction via leave‑one‑cluster‑out. Monte Carlo: vary ICCs {0.05,0.10,0.15}, attrition {10%,20%}, and effect sizes (β = 0.08,0.12,0.20) to report power, bias, and coverage. Ablation studies: (A) remove quadratic and interaction terms to compare against linear models; (B) use observed composites instead of latent variables to quantify measurement error impact; (C) omit mediation to test direct vs indirect pathways. Causal checks: implement RI‑CLPM/RI‑MSEM for within-person tests, IPW for time‑varying confounding diagnostics, and CACE estimation for cluster RCT with instrument (assignment) and report instrument strength (F‑stat or equivalent) and compliance rates.</w:t>
      </w:r>
    </w:p>
    <w:p>
      <w:r>
        <w:t xml:space="preserve"> </w:t>
      </w:r>
    </w:p>
    <w:p>
      <w:pPr>
        <w:pStyle w:val="Heading2"/>
      </w:pPr>
      <w:r>
        <w:t>Risk Factors And Limitations</w:t>
      </w:r>
    </w:p>
    <w:p>
      <w:r>
        <w:t>Measurement error from self-report daily scales and limited item reliability may bias estimates. Common method bias (same source, same time) can inflate associations. Small within-person effects require large diary samples; main study may be underpowered if attrition exceeds planned levels. Missing data that are not missing at random (MNAR) can distort mediation paths and response surfaces. Time‑spacing assumptions (e.g., next‑day lag) may not match the true temporal dynamics, causing misestimation of causal direction. IPW and marginal structural models rely on no unmeasured time‑varying confounders; violations will bias results. Cluster RCTs risk contamination across units and weak instruments for CACE if compliance is low. Response surface interpretation can be sensitive to scaling and centering choices. Generalization is limited to sampled industries, job types, and cultures; cross-cultural measurement invariance may fail. Computational burden: multilevel MSEM and Bayesian RI models can be slow and require careful convergence monitoring.</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