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social_media_airtravel_cn</w:t>
      </w:r>
    </w:p>
    <w:p>
      <w:r>
        <w:t xml:space="preserve"> </w:t>
      </w:r>
    </w:p>
    <w:p>
      <w:pPr>
        <w:pStyle w:val="Heading2"/>
      </w:pPr>
      <w:r>
        <w:t>Title</w:t>
      </w:r>
    </w:p>
    <w:p>
      <w:r>
        <w:t>Causal analysis using logit regression and instrumental variables of social media usage frequency on Chinese residents' air travel behavior</w:t>
      </w:r>
    </w:p>
    <w:p>
      <w:r>
        <w:t xml:space="preserve"> </w:t>
      </w:r>
    </w:p>
    <w:p>
      <w:pPr>
        <w:pStyle w:val="Heading2"/>
      </w:pPr>
      <w:r>
        <w:t>Short Hypothesis</w:t>
      </w:r>
    </w:p>
    <w:p>
      <w:r>
        <w:t>A one-standard-deviation increase in social media usage frequency causes a higher probability of an air trip within the next four weeks among Chinese residents.</w:t>
      </w:r>
    </w:p>
    <w:p>
      <w:r>
        <w:t xml:space="preserve"> </w:t>
      </w:r>
    </w:p>
    <w:p>
      <w:pPr>
        <w:pStyle w:val="Heading2"/>
      </w:pPr>
      <w:r>
        <w:t>Related Work</w:t>
      </w:r>
    </w:p>
    <w:p>
      <w:r>
        <w:t>Prior work links online media exposure and travel or mobility outcomes using standard regressions, theory-driven surveys (Theory of Planned Behavior, Media System Dependency), and descriptive analyses of platform signals. Several studies use panel fixed effects or difference-in-differences to control for time-invariant factors, while others attempt instrumental-variable (IV) strategies using connectivity rollouts or platform changes. Common limitations are: (1) endogeneity and reverse causality are not fully resolved by simple FE or DiD designs; (2) telemetry-based exposure measures suffer measurement error without validation substudies; (3) many IVs are weak or lack thorough falsification tests; (4) spillovers in social networks are often ignored; (5) privacy and reproducibility practices (differential privacy, synthetic data, locked pre-analysis plans) are rarely integrated. These gaps leave causal effect size, mediation pathways, and subgroup heterogeneity partially unresolved.</w:t>
      </w:r>
    </w:p>
    <w:p>
      <w:r>
        <w:t xml:space="preserve"> </w:t>
      </w:r>
    </w:p>
    <w:p>
      <w:pPr>
        <w:pStyle w:val="Heading2"/>
      </w:pPr>
      <w:r>
        <w:t>Abstract</w:t>
      </w:r>
    </w:p>
    <w:p>
      <w:r>
        <w:t>This study estimates the causal effect of social media usage frequency on air travel decisions of Chinese residents. Using the 2022 China Family Panel Studies (CFPS) merged with high-frequency exposure metrics, we test whether higher social-media activity increases short-term trip incidence. Core methods are fixed-effects logit for binary trip incidence, instrumental-variable (IV) estimation using exogenous shocks (e.g., regional broadband rollouts or platform feature rollouts), mediation analysis to test psychological pathways from the Theory of Planned Behavior, and Blinder–Oaxaca decomposition for group differences. We include a validation subsample with app telemetry and travel diaries to quantify measurement error and apply attenuation-correction. Main contributions are: a pre-specified causal identification plan with sequential decision rules, validated exposure measurement, robust weak-IV inference, and privacy-preserving release of DP-aggregates. The expected outcome is reproducible, policy-relevant estimates of how social-media exposure changes short-term air travel probability and which pathways and subgroups drive that effect.</w:t>
      </w:r>
    </w:p>
    <w:p>
      <w:r>
        <w:t xml:space="preserve"> </w:t>
      </w:r>
    </w:p>
    <w:p>
      <w:pPr>
        <w:pStyle w:val="Heading2"/>
      </w:pPr>
      <w:r>
        <w:t>Experiments</w:t>
      </w:r>
    </w:p>
    <w:p>
      <w:r>
        <w:t>Datasets:</w:t>
        <w:br/>
        <w:t xml:space="preserve">- Primary: 2022 CFPS microdata with social media usage frequency, demographics, and self-reported travel; constructed outcome: trip_incidence_4w (binary = any air trip in next 4 weeks). </w:t>
        <w:br/>
        <w:t>- Auxiliary: regional broadband/5G rollout dates, OTA search/booking volumes, flight price and seat availability time series, and a validation subsample (n=1,000–1,500) with synchronized 7-day app telemetry + travel diaries.</w:t>
        <w:br/>
        <w:t>Baselines:</w:t>
        <w:br/>
        <w:t>- Baseline A: pooled logit with standard covariates (age, gender, income proxy, urban/rural, region×week dummies).</w:t>
        <w:br/>
        <w:t>- Baseline B: user fixed-effects logit (controls for time-invariant user traits).</w:t>
        <w:br/>
        <w:t>- Baseline C: FE-Poisson/negative-binomial for trip counts (1/3 month windows).</w:t>
        <w:br/>
        <w:t>Primary models:</w:t>
        <w:br/>
        <w:t>1) FE-logit estimating effect of standardized sessions/day on trip_incidence_4w; report average marginal effect (AME) and odds ratio. (FE-logit = fixed-effects logistic regression; AME = average change in probability.)</w:t>
        <w:br/>
        <w:t>2) IV-2SLS and IV-logit where exposure is instrumented by staggered broadband rollout or platform A/B assignment; report first-stage partial R2, Staiger–Stock F, and Anderson–Rubin CI. (IV = instruments to isolate exogenous variation.)</w:t>
        <w:br/>
        <w:t>3) Mediation analysis: sequential g-computation to estimate proportion mediated by TPB variables (attitude, subjective norms, perceived control); report mediated effect and direct effect.</w:t>
        <w:br/>
        <w:t>4) Blinder–Oaxaca decomposition: explain gap in mean trip probability between urban and rural groups into explained/unexplained components.</w:t>
        <w:br/>
        <w:t>Robustness and ablations:</w:t>
        <w:br/>
        <w:t>- Ablation 1: omit measurement-error correction (no validation adjustment) and compare ATT and AME to corrected estimates.</w:t>
        <w:br/>
        <w:t>- Ablation 2: drop each candidate instrument (leave-one-out) and show AR/CLR CI stability.</w:t>
        <w:br/>
        <w:t>- Alternative identification: when IVs weak (F&lt;10), run staggered DiD with Sun–Abraham or Callaway–Sant’anna estimators and compare estimates.</w:t>
        <w:br/>
        <w:t>Evaluation metrics:</w:t>
        <w:br/>
        <w:t>- For binary outcome: ATT (average effect on treated), AME, odds ratio, 95% CI, p-values.</w:t>
        <w:br/>
        <w:t>- IV diagnostics: first-stage F, partial R2, Kleibergen–Paap rk, AR/CLR CIs.</w:t>
        <w:br/>
        <w:t>- For counts: incidence-rate ratio and overdispersion statistic.</w:t>
        <w:br/>
        <w:t>- Mediation: proportion mediated (%) and CI.</w:t>
        <w:br/>
        <w:t>- Decomposition: explained vs unexplained share (%).</w:t>
        <w:br/>
        <w:t>Experimental setup:</w:t>
        <w:br/>
        <w:t>- Pre-register model functional forms: FE-logit with user fixed effects, clustering by province-week for SEs; IV 2SLS with same clustering; exact covariate list locked before analysis.</w:t>
        <w:br/>
        <w:t>- Run main analysis on full sample; run mediation and decomposition on subsamples where mediators measured.</w:t>
        <w:br/>
        <w:t>- Report heterogeneity by age group (18–34, 35–54, 55+), urban/rural, income terciles, and travel purpose (leisure/business).</w:t>
        <w:br/>
        <w:t>- Release DP-aggregates (ε grid) for public replication; hold synthetic microdata for controlled release.</w:t>
      </w:r>
    </w:p>
    <w:p>
      <w:r>
        <w:t xml:space="preserve"> </w:t>
      </w:r>
    </w:p>
    <w:p>
      <w:pPr>
        <w:pStyle w:val="Heading2"/>
      </w:pPr>
      <w:r>
        <w:t>Risk Factors And Limitations</w:t>
      </w:r>
    </w:p>
    <w:p>
      <w:r>
        <w:t>Technical failure modes: weak or invalid instruments (low first-stage F, violation of exclusion) that prevent causal identification; large measurement error in passive exposure metrics causing attenuation and imprecise corrections. Data and evaluation biases: consent bias in validation subsample, misreporting in self-reported trips, unobserved time-varying confounders correlated with both exposure and travel (e.g., local promotions). Spillovers and SUTVA violation: peer influence may confound individual-level estimates and bias ATT. Scalability and compute: large-panel IV and GMM estimation with clustered SEs and bootstrap CIs for mediation may be computationally intensive. Limits to generalization: CFPS-based sample may not represent all platform users (especially private-channel users like WeChat) and findings may not transfer to other countries or non-CFPS years. Privacy and legal constraints: platform data access or PIPL restrictions may limit use of private-channel telemetry and prevent intended instruments. Evaluation limits: inability to fully rule out reverse causality when timing is coarse, and remaining uncertainty if measurement-error correction depends on small validation subsample.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