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dance_gender_bias_pilot</w:t>
      </w:r>
    </w:p>
    <w:p>
      <w:r>
        <w:t xml:space="preserve"> </w:t>
      </w:r>
    </w:p>
    <w:p>
      <w:pPr>
        <w:pStyle w:val="Heading2"/>
      </w:pPr>
      <w:r>
        <w:t>Title</w:t>
      </w:r>
    </w:p>
    <w:p>
      <w:r>
        <w:t>A mixed-methods evaluation of implicit gender stereotypes and teacher-focused interventions in dance education</w:t>
      </w:r>
    </w:p>
    <w:p>
      <w:r>
        <w:t xml:space="preserve"> </w:t>
      </w:r>
    </w:p>
    <w:p>
      <w:pPr>
        <w:pStyle w:val="Heading2"/>
      </w:pPr>
      <w:r>
        <w:t>Short Hypothesis</w:t>
      </w:r>
    </w:p>
    <w:p>
      <w:r>
        <w:t>Teachers who receive anti-bias professional development produce a smaller gender gap in student performance rubric scores at posttest than teachers who do not receive the professional development.</w:t>
      </w:r>
    </w:p>
    <w:p>
      <w:r>
        <w:t xml:space="preserve"> </w:t>
      </w:r>
    </w:p>
    <w:p>
      <w:pPr>
        <w:pStyle w:val="Heading2"/>
      </w:pPr>
      <w:r>
        <w:t>Related Work</w:t>
      </w:r>
    </w:p>
    <w:p>
      <w:r>
        <w:t>Prior work on bias in education has used implicit measures (e.g., IAT, a timed reaction test that estimates automatic associations) and classroom observations to link teacher attitudes to student outcomes, and separately evaluated teacher professional development (PD) for equity. Existing approaches show that (1) implicit measures often have modest reliability and are sensitive to task length and scoring choices, (2) classroom outcomes are clustered by teacher and school (requiring multilevel analysis), and (3) PD can change teacher knowledge but produces mixed effects on classroom practice and student outcomes. Limitations include: many studies collapse gender into a binary category and thus miss nonbinary experiences; few designs combine implicit measures, coded observations, and student performance in a single clustered randomized trial; sample sizes are often too small to estimate clustering (ICC) precisely; audiovisual data raise ethical and access challenges; and missing-data and multiplicity handling are under-specified. These gaps motivate a rigorously powered, mixed-methods pilot that integrates implicit measurement, observation, and intervention fidelity at the classroom level.</w:t>
      </w:r>
    </w:p>
    <w:p>
      <w:r>
        <w:t xml:space="preserve"> </w:t>
      </w:r>
    </w:p>
    <w:p>
      <w:pPr>
        <w:pStyle w:val="Heading2"/>
      </w:pPr>
      <w:r>
        <w:t>Abstract</w:t>
      </w:r>
    </w:p>
    <w:p>
      <w:r>
        <w:t>This study tests whether teacher-directed anti-bias professional development reduces gendered disparities in dance classroom evaluation and practice. We use a mixed-methods cluster-randomized pilot with teachers/classes as the randomization unit, combining: (a) implicit measures (IAT/GNAT; short validated variants) to assess automatic gendered associations, (b) structured observational rubrics of teacher practice (coded from lesson video), and (c) student performance rubrics and self-report. The main contribution is an integrated, preregistered protocol that links teacher implicit bias, observed teaching behaviors, and student rubric outcomes using multilevel models and power simulations that vary ICC and attrition. We preregister a single primary estimand: the teacher-level average treatment effect on the student performance rubric at posttest. Expected outcomes are: empirical ICC estimates to inform scale-up, evidence on PD effects on observed practice and student outcomes, and validated procedures for inclusive, multi-category gender measurement with ethical governance for audiovisual data. The pilot will produce reproducible simulation code, a fidelity checklist, and pre-specified analytic rules for a larger trial.</w:t>
      </w:r>
    </w:p>
    <w:p>
      <w:r>
        <w:t xml:space="preserve"> </w:t>
      </w:r>
    </w:p>
    <w:p>
      <w:pPr>
        <w:pStyle w:val="Heading2"/>
      </w:pPr>
      <w:r>
        <w:t>Experiments</w:t>
      </w:r>
    </w:p>
    <w:p>
      <w:r>
        <w:t>Design: cluster-randomized 2x2 factorial pilot (anti-bias PD vs control) × (inclusive instructional framing vs neutral), randomize at teacher/class level, stratify by school and grade band. Sample: target 30–40 classes, 10–15 students per class (approx. 300–600 students); simulate alternative designs in power analysis. Datasets: primary data collected from pilot schools (implicit test data, lesson videos, student rubrics, baseline covariates); simulated datasets for power/ICC scenarios. Baselines: current PD or waitlist control. Primary outcome: teacher-level average treatment effect (ATE) on student performance rubric at posttest (one posttest timepoint). Secondary outcomes: teacher IAT D-score change (implicit bias), observational rubric scores, student belonging/self-efficacy scales. Metrics and preprocessing: IAT/GNAT cleaning: exclude trials &lt;300 ms, require ≥20 valid trials in critical blocks, drop participants with &gt;30% error trials; compute D-scores per standard algorithms (short variants allowed). Reliability: report split-half and test–retest for implicit tasks; report coder ICC for rubrics. Analysis: three-level linear mixed models with random intercepts (students nested in classes nested in schools) and random slopes for time/treatment; covariate adjustment include baseline rubric, grade band, and school type. Hypothesis test: two-sided test of difference in gender gap in student rubric at posttest, alpha allocated with hierarchical testing (primary outcome first), Bonferroni or adjusted CIs for secondary outcomes. Power/simulations: multilevel Monte Carlo varying ICCs (implicit 0.05–0.20; observation 0.15–0.40), unequal cluster sizes (CV=0.3), attrition 10–30%; produce tables of clusters/classes/students achieving 80% power for MDEs (IAT D=0.15–0.20; rubric=0.25 SD). Comparisons/ablations: (A) PD vs control, (B) inclusive framing vs neutral, (C) full-length vs short implicit tests (fatigue ablation), (D) per-protocol (high-fidelity) vs ITT. Mediation: multilevel mediation tests of teacher rubric change mediating PD → student rubric outcomes. Missing data: prespecify multilevel multiple imputation (joint modeling) and report MNAR sensitivity scenarios.</w:t>
      </w:r>
    </w:p>
    <w:p>
      <w:r>
        <w:t xml:space="preserve"> </w:t>
      </w:r>
    </w:p>
    <w:p>
      <w:pPr>
        <w:pStyle w:val="Heading2"/>
      </w:pPr>
      <w:r>
        <w:t>Risk Factors And Limitations</w:t>
      </w:r>
    </w:p>
    <w:p>
      <w:r>
        <w:t>Measurement reliability: implicit tests have modest split-half/test–retest reliability which can attenuate effects and reduce power. Burden and fatigue: long reaction-time tasks risk participant dropout or low-quality data; short variants may trade reliability for lower burden. Small subgroup Ns: nonbinary and intersectional groups may be underpowered for interaction tests. Clustering and ICC uncertainty: wide ICCs can require many more clusters than planned; pilot estimates may still be imprecise. Opt-out bias: participants who refuse recording may differ systematically, biasing observational data. Missing data: differential attrition between arms can bias estimates if MNAR mechanisms exist. Ethical/privacy constraints: managing and sharing video data under access controls limits open sharing and adds administrative overhead. Generalizability: results from pilot schools may not extend to other regions, ages, or cultural dance forms. Cost and scalability: staffing, coder time, and redaction pipelines for video are resource-intensive and may limit scalability. Computational load: multilevel Monte Carlo simulations and multilevel imputation require substantial compute time for many scenarios.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