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coastal_construction_ce_evolution</w:t>
      </w:r>
    </w:p>
    <w:p>
      <w:r>
        <w:t xml:space="preserve"> </w:t>
      </w:r>
    </w:p>
    <w:p>
      <w:pPr>
        <w:pStyle w:val="Heading2"/>
      </w:pPr>
      <w:r>
        <w:t>Title</w:t>
      </w:r>
    </w:p>
    <w:p>
      <w:r>
        <w:t>Spatio-temporal assessment of construction-sector carbon emission efficiency in the Guangdong–Fujian–Zhejiang coastal agglomeration using unexpected-output slack-based measure DEA and the Malmquist productivity index</w:t>
      </w:r>
    </w:p>
    <w:p>
      <w:r>
        <w:t xml:space="preserve"> </w:t>
      </w:r>
    </w:p>
    <w:p>
      <w:pPr>
        <w:pStyle w:val="Heading2"/>
      </w:pPr>
      <w:r>
        <w:t>Short Hypothesis</w:t>
      </w:r>
    </w:p>
    <w:p>
      <w:r>
        <w:t>Higher adoption of low-carbon construction practices at the city level (measured by prefabrication share and material substitution rates) causes statistically significant increases in carbon emission efficiency scores computed by an unexpected-output slack-based measure DEA between 2013 and 2022.</w:t>
      </w:r>
    </w:p>
    <w:p>
      <w:r>
        <w:t xml:space="preserve"> </w:t>
      </w:r>
    </w:p>
    <w:p>
      <w:pPr>
        <w:pStyle w:val="Heading2"/>
      </w:pPr>
      <w:r>
        <w:t>Related Work</w:t>
      </w:r>
    </w:p>
    <w:p>
      <w:r>
        <w:t>Existing work on construction-sector carbon efficiency typically uses Data Envelopment Analysis (DEA) or Stochastic Frontier Analysis (SFA) to measure efficiency and the Malmquist index to track productivity change. Many studies apply DEA variants that ignore undesirable outputs (like emissions) or treat them imperfectly; the unexpected-output Slack-Based Measure (SBM) DEA handles undesirable outputs directly. Other literature uses Multi-Regional Input-Output (MRIO) models to allocate embodied emissions but is often at province or national scale, not city scale. Spatial econometric studies (SAR/SDM) analyze spillovers but often lack strong instrument strategies to address endogeneity. Few studies propagate inventory uncertainty (from MRIO, materials, or remote sensing) through to efficiency scores; uncertainty work is usually separate from frontier analyses. Limitations: coarse spatial scale, incomplete treatment of embodied trade and re-exports, weak uncertainty quantification, limited reproducibility of MRIO concordances, and insufficient joint treatment of spatial dependence and endogeneity.</w:t>
      </w:r>
    </w:p>
    <w:p>
      <w:r>
        <w:t xml:space="preserve"> </w:t>
      </w:r>
    </w:p>
    <w:p>
      <w:pPr>
        <w:pStyle w:val="Heading2"/>
      </w:pPr>
      <w:r>
        <w:t>Abstract</w:t>
      </w:r>
    </w:p>
    <w:p>
      <w:r>
        <w:t>This study measures and explains the spatio-temporal evolution of carbon emission efficiency in the construction industry across the Guangdong–Fujian–Zhejiang coastal urban agglomeration for 2013–2022. We combine an unexpected-output slack-based measure (SBM) DEA (which treats emissions as an undesirable output) with the Malmquist productivity index to track dynamics, using a CEADs-harmonized MRIO to allocate embodied flows. We propagate input and inventory uncertainty into efficiency estimates via Monte Carlo sampling (10,000 draws) and bootstrapped DEA, and cross-check results with a Bayesian hierarchical SFA (which models inefficiency and noise). Spatial dependence and endogeneity are tested with dynamic Spatial Durbin Models (SDM) estimated by system-GMM, using pre-specified instruments. Main contributions: a reproducible pipeline that links MRIO-based city inventories, remote-sensing floor-area estimation, uncertainty propagation, and joint DEA/SFA efficiency analysis; empirical evidence on cyclic patterns and drivers of efficiency change; and policy-relevant, spatially differentiated carbon-reduction strategies. Expected outcomes include robust city-level efficiency scores with confidence bands, identified drivers and spillovers, and ranked mitigation options for coordinated regional policy.</w:t>
      </w:r>
    </w:p>
    <w:p>
      <w:r>
        <w:t xml:space="preserve"> </w:t>
      </w:r>
    </w:p>
    <w:p>
      <w:pPr>
        <w:pStyle w:val="Heading2"/>
      </w:pPr>
      <w:r>
        <w:t>Experiments</w:t>
      </w:r>
    </w:p>
    <w:p>
      <w:r>
        <w:t>Datasets: CEADs-based China provincial MRIO (2005–latest) harmonized to provincial energy balances; city-level construction outputs and permits 2013–2022; remote-sensing built-up rasters (Landsat/Sentinel-2, Sentinel-1 SAR) for 2005–2020; cadastral/BIM pilot data for 3 cities; port throughput and customs logs; cement and steel production statistics; provincial grid emission factors. Baselines: (A) standard DEA ignoring undesirable outputs; (B) SBM-DEA without Monte Carlo uncertainty; (C) Bayesian SFA without spatial random effects; (D) Malmquist index computed on point-estimate inventories. Proposed experiments: 1) Main pipeline: build city-level cradle-to-site inventories (MRIO mapping + floor-area allocation), run 10,000-draw Monte Carlo with lognormal (positive parameters) or triangular (bounded) distributions and two rho scenarios (low/high correlations), compute bootstrapped SBM-DEA scores and Malmquist indices, and fit Bayesian hierarchical SFA with spatial random effects. 2) Spatial identification: estimate dynamic SDM with spatial and time fixed effects via system-GMM using instruments (lagged policy timing, central fiscal shocks, pre-2000 industrial shares, distance-to-port); report Hansen and Kleibergen-Paap tests. 3) Allocation sensitivity ablation: compare three allocation schemes (floor-area weighted, value-weighted, port-throughput weighted) and report variance in efficiency ranks. 4) Uncertainty ablation: compare outputs with and without MC propagation to measure CI width and rank instability (Spearman rho). Evaluation metrics: efficiency scores distribution and 95% CIs, Malmquist TFP change, rank stability (Spearman correlation), AIC/BIC and out-of-sample RMSE for spatial weight matrices, residual Moran's I, Hansen overidentification p-values, and bootstrap-based p-values for rank shifts. Experimental setup: parallelized runs on HPC (recommended 16–32 cores), reproducible Dockerized pipeline, pre-registered model-comparison rules, and report of convergence diagnostics (Gelman-Rubin-like) for MC chains.</w:t>
      </w:r>
    </w:p>
    <w:p>
      <w:r>
        <w:t xml:space="preserve"> </w:t>
      </w:r>
    </w:p>
    <w:p>
      <w:pPr>
        <w:pStyle w:val="Heading2"/>
      </w:pPr>
      <w:r>
        <w:t>Risk Factors And Limitations</w:t>
      </w:r>
    </w:p>
    <w:p>
      <w:r>
        <w:t>Data gaps and confidentiality: BIM and permit records may be inaccessible for some cities, causing reliance on proxies. MRIO temporal gaps: MRIO years may be sparse and require RAS interpolation, introducing bias. Allocation uncertainty: different city allocation schemes (floor-area, value, port-weighted) can produce materially different inventories. Remote-sensing errors: built-up misclassification or missing height data can bias floor-area estimates. Computational limits: Monte Carlo + bootstrapped DEA + Bayesian SFA are compute-intensive and may be slow on limited resources. Model identification risks: instruments may fail exclusion restrictions or be weak, invalidating causal claims. DEA limitations: DEA is sensitive to input/output selection and to outliers; SBM results may change with variable choice. SFA priors: Bayesian SFA results depend on hyperparameter choices (prior sensitivity). Spatial generalization: findings are specific to the Guangdong–Fujian–Zhejiang agglomeration and 2013–2022 period and may not generalize to other regions or time windows.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