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nkx2_1_lived_experience_mixed_methods</w:t>
      </w:r>
    </w:p>
    <w:p>
      <w:r>
        <w:t xml:space="preserve"> </w:t>
      </w:r>
    </w:p>
    <w:p>
      <w:pPr>
        <w:pStyle w:val="Heading2"/>
      </w:pPr>
      <w:r>
        <w:t>Title</w:t>
      </w:r>
    </w:p>
    <w:p>
      <w:r>
        <w:t>A mixed-methods qualitative and quantitative study of patient-prioritized needs in NKX2-1-related disorders</w:t>
      </w:r>
    </w:p>
    <w:p>
      <w:r>
        <w:t xml:space="preserve"> </w:t>
      </w:r>
    </w:p>
    <w:p>
      <w:pPr>
        <w:pStyle w:val="Heading2"/>
      </w:pPr>
      <w:r>
        <w:t>Short Hypothesis</w:t>
      </w:r>
    </w:p>
    <w:p>
      <w:r>
        <w:t>Objective respiratory dependence in individuals with NKX2-1-related disorders causes higher psychosocial burden and more unmet care needs than in individuals without respiratory dependence.</w:t>
      </w:r>
    </w:p>
    <w:p>
      <w:r>
        <w:t xml:space="preserve"> </w:t>
      </w:r>
    </w:p>
    <w:p>
      <w:pPr>
        <w:pStyle w:val="Heading2"/>
      </w:pPr>
      <w:r>
        <w:t>Related Work</w:t>
      </w:r>
    </w:p>
    <w:p>
      <w:r>
        <w:t>Existing work on NKX2-1-related disorders has focused on clinical descriptions, multidisciplinary care planning, and clinician-centered qualitative insights. Prior studies show multidisciplinary models and highlight respiratory, neurologic, and endocrine involvement, but they are limited by small or clinic-focused samples, emphasis on clinician rather than patient perspectives, inconsistent phenotype harmonization, and weak integration of genotype data with lived experience. Quantitative studies often lack patient-reported outcome measures (PROMs) tailored to the combined respiratory–neurologic–endocrine burden. Prior qualitative work rarely uses prespecified codebooks, double-coding reliability checks, or joint displays linking themes to objective clinical indicators. These gaps leave unresolved issues: which outcomes patients prioritize, how objective clinical states (e.g., respiratory dependence, thyroid control, motor severity) map to daily experience, and how to harmonize cross-site data for reproducible genotype–phenotype inferences.</w:t>
      </w:r>
    </w:p>
    <w:p>
      <w:r>
        <w:t xml:space="preserve"> </w:t>
      </w:r>
    </w:p>
    <w:p>
      <w:pPr>
        <w:pStyle w:val="Heading2"/>
      </w:pPr>
      <w:r>
        <w:t>Abstract</w:t>
      </w:r>
    </w:p>
    <w:p>
      <w:r>
        <w:t>Problem: NKX2-1-related disorders combine neurologic, respiratory, and thyroid manifestations that are poorly described from patients' and caregivers' perspectives. Approach: We will conduct one focus group and 25–40 semi-structured individual interviews across Europe and North America, combined with a 100–150 respondent cross-sectional survey and a harmonized clinical dataset. Qualitative data will be analyzed with thematic methods informed by grounded theory (grounded theory: building themes from data), using an a priori codebook and double-coding to ensure reliability. We will link qualitative themes to objective clinical indicators (respiratory dependence, pulmonary function, thyroid control, motor severity) using joint displays (tables that align themes with numeric clinical measures). Main contribution: produce a validated, patient-prioritized set of care needs and a minimal PROM core mapped to clinical strata, plus reproducible methods for mixed-methods genotype–phenotype description in rare variants. Expected outcome: actionable, patient-centered guidance for multidisciplinary care and harmonized standards for future NKX2-1 research.</w:t>
      </w:r>
    </w:p>
    <w:p>
      <w:r>
        <w:t xml:space="preserve"> </w:t>
      </w:r>
    </w:p>
    <w:p>
      <w:pPr>
        <w:pStyle w:val="Heading2"/>
      </w:pPr>
      <w:r>
        <w:t>Experiments</w:t>
      </w:r>
    </w:p>
    <w:p>
      <w:r>
        <w:t>Datasets: (1) Qualitative: 1 focus group + 25–40 individual interviews audio-recorded and transcribed; purposive maximum-variation sampling across age, phenotype (chorea, dystonia, myoclonus, ataxia), genotype class, geography, and caregiver status. Stop rules: minimum n=25, thematic saturation defined as no new primary themes across three consecutive interviews, hard cap n=40. (2) Quantitative: cross-sectional survey n=100–150 including PROMs (EQ-5D, PROMIS global and fatigue, SGRQ or Leicester Cough for respiratory, PedsQL for pediatrics). (3) Clinical harmonized dataset per CRF: HGVS variant notation, neurologic severity (UHDRS chorea subscore, BFMDRS motor score, WHODAS), PFTs (FEV1%, FVC%, DLCO% with GLI reference), oxygen/ventilation status, TSH/free T4 with dates, hospitalizations/ICU days. Baselines: compare groups defined by objective respiratory dependence (dependent vs non-dependent), thyroid control (euthyroid vs suboptimally treated), and motor severity (mild/moderate/severe). Evaluation metrics: quantitative—difference in mean PROM scores with exact (Clopper–Pearson) 95% CIs, nonparametric tests (Wilcoxon rank-sum, Fisher exact), effect sizes (Cohen's d or rank-biserial), bootstrap CIs for small strata, Bayesian posterior estimates with pre-specified conservative priors when 5&lt;=n&lt;20; qualitative—thematic saturation, interrater reliability Cohen's kappa &gt;=0.70 for double-coded 20% transcripts. Experimental setup: audio transcribed and de-identified; codebook developed a priori with domain codes (neurologic/respiratory/endocrine/psychosocial); double-code 20% of transcripts, reconcile via consensus and third-coder adjudication; compute kappa and repeat calibration until kappa&gt;=0.70 or remediation documented. Joint analyses: create case-level matrices aligning qualitative themes with clinical indicators and PROMs; report descriptive summaries and exact CIs; only perform inferential tests if stratum n&gt;=20. Comparison/ablation study: (A) Primary contrast: respiratory dependent vs non-dependent groups on PROMs and frequency of unmet-care themes. (B) Ablation: repeat joint-display analyses excluding genotype-confirmed pathogenic variants (i.e., include VUS) to evaluate effect of genotype certainty on theme distribution. Missing data: multiple imputation (mice in R) for PROMs; report pooled estimates and complete-case sensitivity. Software: qualitative NVivo or ATLAS.ti; quantitative R (tidyverse, mice, brms for Bayesian).</w:t>
      </w:r>
    </w:p>
    <w:p>
      <w:r>
        <w:t xml:space="preserve"> </w:t>
      </w:r>
    </w:p>
    <w:p>
      <w:pPr>
        <w:pStyle w:val="Heading2"/>
      </w:pPr>
      <w:r>
        <w:t>Risk Factors And Limitations</w:t>
      </w:r>
    </w:p>
    <w:p>
      <w:r>
        <w:t>Technical/data risks: small sample sizes in rare-variant strata limit inferential power and may force descriptive reporting only; recruitment bias toward engaged advocacy networks or specialist clinics may reduce representativeness; translation and cross-cultural issues may alter PROM equivalence. Analysis risks: inability to prove causality from observational data (association only); coder drift or low interrater reliability delaying analysis; missing clinical data (PFTs, labs) reducing linkage quality. Operational/legal risks: cross-site legal/regulatory delays (CLIA agreements, DTAs, IRB/GDPR/HIPAA compliance) may postpone data collection or OSF registration. Budget/ logistic risks: unplanned CLIA-confirmation costs per sample and recruitment shortfalls requiring timeline extension. Safety/ethical risks: disclosure of acute medical or psychiatric crises during interviews requiring escalation and potential withdrawal. Generalization limits: findings may not generalize beyond studied geographic regions or to NKX2-1 carriers identified only through population screening.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