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e_trust_satisfaction_repurchase_bd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Quantitative SEM and 2SLS investigation of e-trust, e-customer satisfaction, and online repurchase intentions among Bangladeshi university students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Higher e-trust causally increases online repurchase intention among Bangladeshi university students, and this effect is mediated by e-customer satisfaction.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research on online repurchase behavior uses structural equation modeling (SEM) and regression to link satisfaction, trust, and repurchase intention. Some studies apply instrumental-variable or two-stage least squares (2SLS) to address endogeneity. Typical limitations are: reliance on cross-sectional, single-wave samples that confound within- and between-person effects; limited use of simultaneous SEM+2SLS frameworks to jointly address measurement and endogeneity; scarce objective behavioral validation (most use only self-report intentions); inadequate missing-data sensitivity and MNAR analyses; weak handling of clustering and design effects in student samples; and limited focus on developing-country student populations. Work that tests mediation often omits reciprocal dynamics and latent interactions for moderators (e.g., prior online experience, digital literacy). Common-method bias and cultural adaptation steps are frequently underreported. This leaves open questions about causal directions, robustness to selection/dropout, and external validity in resource-constrained university contexts.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examines whether e-trust and e-customer satisfaction drive online repurchase intentions among university students in a developing-country context. Using a quantitative survey of university students, the analysis combines structural equation modeling (SEM) to model latent constructs and mediation with a simultaneous 2SLS approach to address potential endogeneity between trust and satisfaction. The design also tests moderation by prior online experience and includes an objective behavioral metric (opt-in voucher redemption) to triangulate self-reported intentions. Main contributions are: (1) jointly estimating measurement and causal identification strategies to strengthen inference about trust and satisfaction effects; (2) evaluating reciprocal and mediated pathways between trust, satisfaction, and repurchase intention; and (3) reporting sensitivity to missing data, clustering, and selection in a developing-country student sample. Expected outcome: clear quantification of direct and indirect effects, assessed robustness to endogeneity and dropout, and practical insights into how trust-building and satisfaction improvements relate to repeat online purchases among students.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primary dataset = online survey of university students in Bangladesh, target N ≈ 415 (panel or two-wave contingent on Monte Carlo); include pilot n≈100 and cognitive-interview n≈20 for measurement calibration. Collect multi-item scales (4–6 items each) for e-trust, e-customer satisfaction, and repurchase intention; auxiliary variables: prior online experience, perceived risk, digital literacy, SES items, device/browser, completion time. Include opt-in voucher redemption and brief transaction log (last 3 purchases) as behavioral measures. Baselines: (A) cross-sectional CFA+SEM (no endogeneity correction), (B) SEM with bootstrapped mediation, (C) simultaneous SEM + 2SLS to address endogeneity (instruments pre-registered), (D) two-wave RI-CLPM (if panel available) for within-person dynamics. Evaluation metrics: model fit: CFI, RMSEA, SRMR; latent reliability: composite reliability/omega, AVE; mediation: bootstrapped 95% CI for indirect effects; 2SLS diagnostics: first-stage F-statistic, endogeneity test (Durbin/Wu-Hausman), overidentification (Sargan/Hansen) where applicable; predictive validity: RMSE on holdout; robustness: bias, RMSE, coverage from Monte Carlo power sims. Experimental setup: preprocess with pre-registered data-quality rules (attention checks, minimum completion-time thresholds calibrated on pilot), compute weights for post-stratification, handle missing data primary via FIML in SEM (FIML = full-information maximum likelihood, uses all available data) and sensitivity with multiple imputation m=50 (MI fills in missing values using correlated variables), and pattern-mixture delta adjustments for MNAR. Analyses: (1) fit CFA measurement model, require loadings ≥0.60, CR≥0.70, AVE≥0.50; (2) test discriminant validity (HTMT); (3) estimate SEM direct and indirect paths with bootstrapped CIs; (4) run simultaneous 2SLS within SEM for suspected endogenous relations and report IV diagnostics; (5) test moderation using latent moderated structural equations (LMS) for continuous moderators and multi-group SEM for categorical moderators; (6) compare models A–D and report table of coefficients, standard errors, fit indices, and diagnostic tests; (7) ablation study: compare results with and without voucher-based behavioral measure, and compare SEM-only vs SEM+2SLS to quantify bias from endogeneity. Pre-specified significance: two-sided α=0.05; report effect sizes and 95% CIs.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Sampling and generalizability: student-only sample in one country limits external validity to other populations. Attrition and MNAR: panel dropout may bias longitudinal estimates if missingness depends on unobserved variables; pattern-mixture bounds may still be wide. Measurement invariance: scales may not achieve scalar invariance across gender or urban/rural groups, limiting mean comparisons. Common-method bias: self-report measures risk inflating associations despite marker variables and method-factor tests. Endogeneity: 2SLS depends on valid instruments; weak or invalid instruments will bias estimates. Voucher opt-in selection: behavioral metric may be non-random (selection bias), reducing its representativeness. Clustering and multilevel limits: insufficient number of clusters (universities/faculties) can prevent reliable multilevel SEM and inflate Type I error if not adjusted. Power constraints: modest N may limit detection of small indirect effects, especially under high ICC or attrition. Data quality: bot responses or speeders may reduce usable sample. Computational limits: Monte Carlo grids and Bayesian SEM can be compute-intensive and may require reduced replications or cloud resources. Cultural/context limits: cultural moderators may be measured with limited depth, constraining interpretation of cross-cultural effects.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