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young_is_motivation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Cluster-randomized evaluation of an autonomy-support intervention to test causal effects on motivation and code quality in early-career information systems project teams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team-level autonomy-support intervention (manager training plus task-choice prompts) causes a measurable increase in intrinsic motivation and a reduction in defect-priority-weighted counts among early-career information systems professionals.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motivation in information systems emphasizes intrinsic rewards, career growth, learning opportunities, and innovation as correlates of engagement. Existing studies commonly use cross-sectional surveys or small observational cohorts, rely on self-report outcomes, and lack preregistered causal designs. Common limitations include: (1) weak causal identification because individual randomization is rare and contamination across teammates is not addressed; (2) limited linkage between psychological measures and objective code-repository metrics; (3) measurement artifacts from non-validated, non-contextual items for IS tasks; (4) small or convenience samples and sparse attention to cluster structure (teams), which weaken power and inference; and (5) sparse documentation of normalization and handling of repository heterogeneity. These gaps leave unresolved whether team-level interventions causally change both latent motivation and concrete IS performance metrics.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a team-level autonomy-support intervention causally increases intrinsic motivation and improves code quality among early-career information systems professionals working in project teams. We combine a cluster-randomized encouragement design with validated psychological scales and repository-derived objective metrics to link latent motivation to behavioral outcomes. The core approach: randomize teams to an autonomy encouragement package (manager micro-training and task-choice prompts) or to control, measure latent intrinsic motivation with a validated scale, and map repository signals—time-to-merge, defect-priority-weighted counts, code-review participation, and test coverage—to primary behavioral outcomes. Main contribution: a preregistered, jointly modeled measurement and inferential pipeline that produces an intent-to-treat estimate of the autonomy intervention on latent motivation and a causal mediation estimate of downstream code quality. Expected outcome: evidence quantifying the causal pathway from autonomy support to motivation and to measurable IS-quality improvements, producing operationally interpretable effect sizes for educational and practitioner use.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survey responses from master students acting as early-career IS professionals in a project-based course (teams mapped to repositories), repository API data per team (pull requests, merges, defect labels, test coverage), and ESM (experience sampling) subsample. Baselines: (A) control teams with no encouragement, (B) stepped-wedge rollout variant, and (C) ablation arms: manager-training-only and task-choice-prompts-only. Evaluation metrics: psychological primary: latent intrinsic motivation score (latent variable from 6 items; higher = more intrinsic motivation). Behavioral primary: defect-priority-weighted counts per developer (negative-binomial), where severity weights are pre-specified integers (example: trivial=1, minor=2, major=3, critical=5). Secondary metrics: log-median time-to-merge per developer (log-normal), code-review participation rate (proportion of review opportunities with authored reviews; binomial), and test coverage percent per module (beta regression on transformed 0-1 scale). Experimental setup: cluster-randomized encouragement at team level with target 30 teams (approximately 6 members each) randomized 1:1 to autonomy encouragement or control; include fidelity logs (training attendance) and exposure dose. Analysis plan: primary intent-to-treat (ITT) multilevel SEM linking latent intrinsic motivation to behavioral outcomes; complier-average causal effect (CACE) via two-stage least squares using team-level encouragement as an instrument for uptake (compliance defined binary: attended training or used task-choice prompts at least once per sprint). Normalization: compute within-repo z-scores, residualize outcomes on role and LOC/task size, winsorize extremes, and retain raw values. Ablation study: compare manager-training-only vs prompts-only to test contribution of components. Sensitivity checks: cluster-robust SEs, wild-cluster bootstrap for small cluster counts, alternative families (zero-inflated NB), and IPW for selection into ESM/API linking.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Low cluster count and power: fewer than planned teams reduces power to detect small effects and biases cluster-robust inference. Contamination: cross-team communication or shared managers may dilute treatment contrast. Noncompliance and partial uptake: if trainees skip training or ignore prompts, IV strength may be weak (first-stage F-statistics low). Selection bias: participants who consent to API linking or ESM may differ systematically (affects external validity). Measurement issues: latent scale may fail invariance across subgroups (gender, experience), and reverse-coded items can introduce artifacts. Repository data biases: defect labels may be inconsistent, severity weighting is subjective, and some repos may lack test coverage metrics. ESM burden: participant fatigue reduces within-person data quality. Privacy and governance: linking identifiable roster to code metrics increases re-identification risk and may limit data sharing. Generalizability: study uses master-student teams or early-career consultants and may not generalize to senior engineers or different organizational contexts. Small effect sizes: even true effects may be below practical detection thresholds given feasible sample sizes.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