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social_support_resilience_qol_asd_parents</w:t>
      </w:r>
    </w:p>
    <w:p>
      <w:r>
        <w:t xml:space="preserve"> </w:t>
      </w:r>
    </w:p>
    <w:p>
      <w:pPr>
        <w:pStyle w:val="Heading2"/>
      </w:pPr>
      <w:r>
        <w:t>Title</w:t>
      </w:r>
    </w:p>
    <w:p>
      <w:r>
        <w:t>Interventional mediation analysis of resilience in the effect of social support on quality of life among Chinese parents of children with autism spectrum disorder</w:t>
      </w:r>
    </w:p>
    <w:p>
      <w:r>
        <w:t xml:space="preserve"> </w:t>
      </w:r>
    </w:p>
    <w:p>
      <w:pPr>
        <w:pStyle w:val="Heading2"/>
      </w:pPr>
      <w:r>
        <w:t>Short Hypothesis</w:t>
      </w:r>
    </w:p>
    <w:p>
      <w:r>
        <w:t>Increased social support causes higher resilience which in turn causes improved quality of life among Chinese parents of children with autism spectrum disorder, so the indirect effect through resilience is greater than zero.</w:t>
      </w:r>
    </w:p>
    <w:p>
      <w:r>
        <w:t xml:space="preserve"> </w:t>
      </w:r>
    </w:p>
    <w:p>
      <w:pPr>
        <w:pStyle w:val="Heading2"/>
      </w:pPr>
      <w:r>
        <w:t>Related Work</w:t>
      </w:r>
    </w:p>
    <w:p>
      <w:r>
        <w:t>Prior work shows correlations between social support, resilience, and caregiver quality of life using cross-sectional surveys and simple regression or observed-score mediation. Existing approaches are limited by reliance on cross-sectional designs that cannot establish temporal order, small or convenience samples, limited adjustment for confounding (especially mediator–outcome confounding), few studies using validated Chinese measurement models with measurement‑error correction, and sparse sensitivity analyses for unmeasured confounding. Methods that model latent constructs (structural equation models) are used sometimes but often lack power guidance for mediation, do not pre-specify causal estimands (such as interventional indirect effects), and rarely report robustness checks like rho‑based sensitivity or bias bounds.</w:t>
      </w:r>
    </w:p>
    <w:p>
      <w:r>
        <w:t xml:space="preserve"> </w:t>
      </w:r>
    </w:p>
    <w:p>
      <w:pPr>
        <w:pStyle w:val="Heading2"/>
      </w:pPr>
      <w:r>
        <w:t>Abstract</w:t>
      </w:r>
    </w:p>
    <w:p>
      <w:r>
        <w:t>This study tests whether resilience mediates the causal effect of social support on quality of life among Chinese parents of children with autism spectrum disorder. We use standardized Chinese instruments for social support, resilience, and quality of life and estimate an interventional indirect effect that is interpretable under realistic intervention assumptions. The main contribution is a reproducible, prespecified analysis pipeline that combines latent‑variable structural equation modeling (to account for measurement error), interventional mediation estimands (to avoid cross‑world counterfactuals), and formal sensitivity analyses (rho‑based, E‑values, and bias formulas) to quantify robustness to unmeasured confounding. Expected outcomes are (1) an estimate of the mediated effect size with bootstrap confidence intervals, (2) psychometric validation of measurement models in the sample, and (3) sensitivity bounds that show how strong unmeasured confounding would need to be to explain away the indirect effect. Results will inform whether resilience is a plausible causal target for interventions to improve caregiver wellbeing.</w:t>
      </w:r>
    </w:p>
    <w:p>
      <w:r>
        <w:t xml:space="preserve"> </w:t>
      </w:r>
    </w:p>
    <w:p>
      <w:pPr>
        <w:pStyle w:val="Heading2"/>
      </w:pPr>
      <w:r>
        <w:t>Experiments</w:t>
      </w:r>
    </w:p>
    <w:p>
      <w:r>
        <w:t>Datasets: primary survey of N=257 hospital‑recruited Chinese parents using standardized Chinese SSRS (social support), Chinese CD‑RISC (resilience), and Chinese WHOQOL‑BREF (quality of life), with covariates: child ASD severity, child behavior problems, parental PHQ‑9/GAD‑7, caregiving hours, SES (education, income, hukou), kinship structure, and service access. Baselines: (A) OLS observed‑score mediation (product of coefficients), (B) latent mediation via confirmatory factor analysis + structural equation model (SEM), (C) interventional indirect effect estimator (weighting or parametric g‑formula) implemented with covariate adjustment, (D) MSM/IPTW when time‑varying confounding is detected. Evaluation metrics: standardized indirect effect estimate, 95% bias‑corrected bootstrap CI (5,000 resamples), proportion mediated, CFA fit indices (CFI, TLI, RMSEA, SRMR), coefficient omega for reliability, Imai rho sensitivity (correlation scale), E‑value for indirect effect, VanderWeele bias formula outputs, and design effect/ESS (effective sample size) for clustering. Experimental setup: (1) Fit measurement models: CFA for each scale; report loadings and omega; require reporting of any DIF. (2) Fit latent SEM mediation adjusting covariates and report interventional indirect effect allowing A×M interaction. (3) Compare baseline A vs D: ablation 1 = latent SEM vs observed‑score mediation; ablation 2 = SEM with and without measurement error correction; ablation 3 = interventional indirect effect vs natural indirect effect. (4) Sensitivity analyses: Imai rho sweep, compute E‑values for indirect estimate, apply VanderWeele bias formulas under plausible confounding strengths. (5) Monte Carlo power worked example and sims: run 20,000 replications. Worked numeric example: assume standardized a=0.30 and b=0.30 (indirect=0.09), 4 indicators per latent, indicator loadings=0.75, average cluster size m=15. If ICC=0.05, design effect DE=1+(m-1)*ICC=1.7 so N=500 gives ESS≈500/1.7≈294; Monte Carlo indicates N≈500 yields ~80% power to detect indirect≈0.09 under ICC=0.05; for ICC=0.10, N≈700 yields ~80% power. Report all scripts, seeds, and exact model code for reproducibility.</w:t>
      </w:r>
    </w:p>
    <w:p>
      <w:r>
        <w:t xml:space="preserve"> </w:t>
      </w:r>
    </w:p>
    <w:p>
      <w:pPr>
        <w:pStyle w:val="Heading2"/>
      </w:pPr>
      <w:r>
        <w:t>Risk Factors And Limitations</w:t>
      </w:r>
    </w:p>
    <w:p>
      <w:r>
        <w:t>Technical failure modes: low statistical power for small indirect effects in the available N=257 sample; model nonconvergence in multilevel SEM when clustering or many covariates are included. Data and evaluation biases: selection bias from hospital recruitment limiting generalizability to community caregivers; measurement bias if translated items show DIF or low reliability. Missing data risks: attrition or nonresponse leading to biased estimates if missing not at random. Sensitivity limits: sensitivity analyses cannot fully rule out very strong unmeasured confounding. Scalability and compute: SEM with bootstraps and 20,000 Monte Carlo reps requires nontrivial compute time. Generalization limits: results apply to Chinese parents sampled and to the instruments used; causal claims depend on untestable assumptions (no unmeasured mediator–outcome confounding after adjustment).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