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authentic_simulated_pjbl_translation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mixed-method, cluster-randomized comparison of authentic versus simulated project-based learning for improving translator competence and employability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Exposure to authentic project-based learning causes a higher probability of employment in a relevant translation role within six months of graduation and a larger mean increase in a standardized translator-competence composite rubric score than exposure to simulated project-based learning.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contrasts authentic project-based learning (real client projects, industry interaction) with simulated project-based learning (role-played briefs, classroom simulations). Prior studies report gains in student engagement and some workplace skills from authentic tasks, but suffer from small samples, reliance on self-report measures, single-institution designs, and limited psychometric validation of competence rubrics. Other work uses simulated environments to scale practice but often lacks employer verification of outcomes, does not pre-register analyses, and seldom models cluster effects (class/project groups) or contamination between arms. Recent trends include using AI agents for simulation and stronger preregistration, but unresolved issues remain: inconsistent employment verification, weak handling of missing data and ICC (intraclass correlation) in clustered designs, limited rater reliability reporting, and sparse reporting on fairness, AI risks, and cross-site data governance.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It is unclear whether authentic industry projects deliver larger gains in translator competence and employability than high-fidelity classroom simulations. Approach: We run a preregistered, mixed-method trial that randomizes project clusters to authentic or simulated project-based learning (PjBL), collects quantitative outcomes and qualitative documents, and triangulates measures with employer verification and behavioral logs. Mixed-methods means combining numerical data (surveys, rubric scores, employment outcomes) and qualitative data (project documents, client feedback). Main contribution: a fully specified cluster trial protocol that measures two primary outcomes—employment within six months and change in a 0-100 composite competence rubric—while reporting psychometrics, fidelity, missing-data sensitivity, and AI evaluation for simulations. Expected outcome: clear, reproducible evidence on which translator competences improve most under authentic versus simulated PjBL and an empirical model for aligning university curricula with industry practice.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 and sample: cluster-randomized trial with ~300 students across ~30 project clusters (≈15 clusters per arm), cluster size m≈10. Randomization: cluster-level, 1:1 allocation stratified by site and language pair, using permuted blocks (block sizes 2 and 4) with central concealment; report audit logs. Arms: (A) authentic PjBL with industry partner briefs and client feedback; (B) simulated PjBL with classroom role-play briefs; optional third baseline: standard coursework for exploratory comparison. Datasets: student demographics, baseline and end-of-program rubric artifacts, Work Readiness Scale, TeamSTEPPS scores, CareerEDGE items, Interpersonal Communication Competence Scale, situational judgment tests (SJT), version-control/chat logs, client ratings, and employment verification records per hierarchy. Primary endpoints: employment_yes_6mo (binary) and delta_rubric_score (continuous 0-100). Baselines for comparison: simulated PjBL alone and (exploratory) traditional coursework. Evaluation metrics: logistic mixed-effects model for employment_yes_6mo (report odds ratio, 95% CI, AUC, calibration), linear mixed-effects model for delta_rubric_score (estimate mean difference, 95% CI), ICCs for cluster/rater, Cohen's d, FDR-controlled secondary tests. Secondary metrics: scale scores, SJT accuracy, client satisfaction, counts of collaborative behaviors (initiation, coordination, conflict, resolution, QA), and time-to-hire. Models: random intercepts for cluster and assessor; fixed covariates baseline rubric, GPA, language pair, prior experience, SES, cohort, site. Missing data: cluster-aware MICE with 50 imputations (explain: MICE means multiple imputation by chained equations, a method to fill missing values), diagnostics for convergence and plausibility, pattern-mixture MNAR sensitivity with delta shifts ±0.25 and ±0.5 SD. Power and ICC sensitivity: prespecify power tables for ICC ∈ {0.02,0.05,0.10} and attrition ∈ {10%,20%,30%}; target d=0.40 detectable. Ablations: (1) remove industry feedback from composite rubric weights and compare treatment effects to assess contribution of client input; (2) within simulated arm, compare simulation with AI actor versus without AI actor to measure AI effect on outcomes. Implementation details: analysis in R (lme4 for mixed models, mice for imputation) with fixed random seeds and containerized analytic environment; preregister code, model specs, and decision rules; blind raters and analysts to allocation (raters guess recorded to assess blinding).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low inter-rater reliability, poor rubric validity, or failed rater calibration can invalidate competence estimates. Data biases: employer nonresponse or selective verification may bias employment_yes_6mo; self-selection into clusters or differential attrition can confound effects. Cluster design limits: small number of clusters reduces power and precision, and high ICC will inflate required sample size. Contamination: cross-arm student or staff interactions can dilute treatment contrast. AI simulation limits: hallucination, domain mismatch, and compute costs can reduce fidelity of simulated briefs. Generalization: results may not generalize across rare language pairs, different accreditation systems, or labor markets with different hiring norms. Legal and governance constraints: cross-border data sharing and retention requirements (e.g., GDPR) may restrict verification and data linkage. Evaluation limits: employment outcome is binary and coarse (timing and quality of role vary), and the composite rubric may mask domain-specific competence changes.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