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spanish_winery_resilience</w:t>
      </w:r>
    </w:p>
    <w:p>
      <w:r>
        <w:t xml:space="preserve"> </w:t>
      </w:r>
    </w:p>
    <w:p>
      <w:pPr>
        <w:pStyle w:val="Heading2"/>
      </w:pPr>
      <w:r>
        <w:t>Title</w:t>
      </w:r>
    </w:p>
    <w:p>
      <w:r>
        <w:t>Estimating how internal firm attributes and external challenges shape resilience capacities of Spanish wineries using survey-based OLS models</w:t>
      </w:r>
    </w:p>
    <w:p>
      <w:r>
        <w:t xml:space="preserve"> </w:t>
      </w:r>
    </w:p>
    <w:p>
      <w:pPr>
        <w:pStyle w:val="Heading2"/>
      </w:pPr>
      <w:r>
        <w:t>Short Hypothesis</w:t>
      </w:r>
    </w:p>
    <w:p>
      <w:r>
        <w:t>Higher internal innovation and stronger rural commitment in Spanish wineries cause increased adaptive and transformative resilience scores and reduced yield and revenue volatility, conditional on firm size, structure, and perceived environmental, economic, and social challenges.</w:t>
      </w:r>
    </w:p>
    <w:p>
      <w:r>
        <w:t xml:space="preserve"> </w:t>
      </w:r>
    </w:p>
    <w:p>
      <w:pPr>
        <w:pStyle w:val="Heading2"/>
      </w:pPr>
      <w:r>
        <w:t>Related Work</w:t>
      </w:r>
    </w:p>
    <w:p>
      <w:r>
        <w:t>Prior work on winery resilience documents cases of robustness and adaptation and uses longitudinal or cross-sectional analyses to link firm characteristics to outcomes. Existing approaches often rely on small regional samples, inconsistent composite resilience indices, and simple OLS without fully accounting for clustering, serial correlation, or staggered treatment timing. Social-network and governance dimensions are frequently under-integrated or measured inconsistently. Power and sample-size calculations are commonly illustrative rather than simulation-based, leaving MDES (minimum detectable effect size) claims fragile under attrition and unequal cluster sizes. Data-governance and GDPR constraints have been noted but not consistently operationalized for pooled cooperative-admin datasets. These gaps limit causal credibility, reproducibility, and policy translation.</w:t>
      </w:r>
    </w:p>
    <w:p>
      <w:r>
        <w:t xml:space="preserve"> </w:t>
      </w:r>
    </w:p>
    <w:p>
      <w:pPr>
        <w:pStyle w:val="Heading2"/>
      </w:pPr>
      <w:r>
        <w:t>Abstract</w:t>
      </w:r>
    </w:p>
    <w:p>
      <w:r>
        <w:t>This study measures how internal attributes (size, structure, innovation, rural commitment) and perceived economic, environmental, and social challenges shape three resilience capacities—robustness, adaptability, and transformability—in Spanish wineries. We analyze a survey of 411 firms and harmonized administrative records to construct a Composite Resilience Index (CRI) and estimate relationships using ordinary least squares (OLS) models with clustered standard errors and fixed effects (fixed effects control for unobserved, time-invariant factors). Main contributions are: a transparent, pre-registered CRI prototype with reliability and sensitivity checks; simulation-based power and bias assessment for clustered longitudinal designs; and a robustness hierarchy including alternative DID and recent staggered-adoption estimators. Expected outcomes are reproducible estimates of which firm attributes drive each resilience dimension, quantified effect sizes useful for policy, and an open toolkit (code and pre-registration) for scaling to other rural agro-industries.</w:t>
      </w:r>
    </w:p>
    <w:p>
      <w:r>
        <w:t xml:space="preserve"> </w:t>
      </w:r>
    </w:p>
    <w:p>
      <w:pPr>
        <w:pStyle w:val="Heading2"/>
      </w:pPr>
      <w:r>
        <w:t>Experiments</w:t>
      </w:r>
    </w:p>
    <w:p>
      <w:r>
        <w:t>Datasets: primary survey of 411 Spanish wineries (firm attributes, perceived challenges, social metrics), pilot sensor/field measures (n≈60 parcels), and matched administrative/cooperative records (yield, revenue, parcel IDs). Baselines: 1) OLS with standard covariates; 2) OLS + parcel and year fixed effects; 3) OLS with clustered SEs at cellar level; 4) alternative estimators (Callaway &amp; Sant’Anna, Sun &amp; Abraham, stacked DID, synthetic control) as robustness. Primary estimator: OLS with parcel fixed effects and SEs clustered at cellar. Outcomes: CRI (three-domain primary index), yield (t/ha), yield volatility (interannual SD), revenue volatility (annual SD), °Brix SD (quality volatility). Evaluation metrics: coefficient estimates, 95% CI width, p-values, R-squared, RMSE, Spearman rank correlation for CRI sensitivity, Cronbach’s alpha and confirmatory factor analysis (CFA) fit indices for CRI reliability. Experimental setup: (A) Cross-sectional OLS and fixed-effect panels on observed data; (B) Monte Carlo simulations of clustered longitudinal designs to estimate MDES and bias under ICCs (0.05,0.15,0.30), AR(1) rho values (0.2,0.5,0.8), unequal cluster sizes, and attrition scenarios (5%,15%,30%); (C) Simulation of staggered-adoption shocks to evaluate DID estimators and Goodman-Bacon decomposition bias; (D) Ablation: compare CRI weighting schemes (equal, PCA, expert-Delphi) and remove social-network metrics to measure change in explanatory power; (E) Missing-data experiments: compare listwise deletion, inverse-probability weighting (IPW), and multiple imputation and report Lee bounds for attrition-sensitive outcomes. All code and simulation seeds pre-registered and archived on OSF.</w:t>
      </w:r>
    </w:p>
    <w:p>
      <w:r>
        <w:t xml:space="preserve"> </w:t>
      </w:r>
    </w:p>
    <w:p>
      <w:pPr>
        <w:pStyle w:val="Heading2"/>
      </w:pPr>
      <w:r>
        <w:t>Risk Factors And Limitations</w:t>
      </w:r>
    </w:p>
    <w:p>
      <w:r>
        <w:t>Measurement error in self-reported surveys and sensor data may bias estimates; CRI weighting decisions can materially change rankings (weight sensitivity). Attrition and sensor failures reduce effective sample size and power; unequal cluster sizes and high intra-cluster correlation (ICC) inflate required N. OLS and standard DID can be biased under heterogeneous treatment timing or unobserved time-varying confounders. Administrative/cooperative data linkage risks (missing IDs, GDPR restrictions) may limit pooling. Social-network measures rely on respondent accuracy and may be incomplete. Results may not generalize beyond Spanish wine regions studied. Monte Carlo simulations require assumptions for priors (SD, ICC, rho) that, if misspecified, give misleading MDES. Computational cost for large simulation grids and synthetic-control runs may be nontrivial.</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