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tolerant_futures_museum_study</w:t>
      </w:r>
    </w:p>
    <w:p>
      <w:r>
        <w:t xml:space="preserve"> </w:t>
      </w:r>
    </w:p>
    <w:p>
      <w:pPr>
        <w:pStyle w:val="Heading2"/>
      </w:pPr>
      <w:r>
        <w:t>Title</w:t>
      </w:r>
    </w:p>
    <w:p>
      <w:r>
        <w:t>Randomized session-block trial using Bayesian multilevel modeling to test whether museum interventions that challenge nationalist historical analogies increase visitor social tolerance in UK archaeological galleries</w:t>
      </w:r>
    </w:p>
    <w:p>
      <w:r>
        <w:t xml:space="preserve"> </w:t>
      </w:r>
    </w:p>
    <w:p>
      <w:pPr>
        <w:pStyle w:val="Heading2"/>
      </w:pPr>
      <w:r>
        <w:t>Short Hypothesis</w:t>
      </w:r>
    </w:p>
    <w:p>
      <w:r>
        <w:t>Exposure to interactive exhibit content that challenges exclusive nationalist historical analogies causes a greater increase in post-visit social tolerance (adapted 5-item Social Distance scale) than exposure to control content.</w:t>
      </w:r>
    </w:p>
    <w:p>
      <w:r>
        <w:t xml:space="preserve"> </w:t>
      </w:r>
    </w:p>
    <w:p>
      <w:pPr>
        <w:pStyle w:val="Heading2"/>
      </w:pPr>
      <w:r>
        <w:t>Related Work</w:t>
      </w:r>
    </w:p>
    <w:p>
      <w:r>
        <w:t>Prior work has used museum interventions, digital tools, and short surveys to measure intergroup tolerance and the effects of historical framing. Existing approaches include in-gallery prompts, tabletop interactives, and exit questionnaires, sometimes combined with observational or audio data. Limitations in prior work are: small or convenience samples, weak or absent randomization, limited control for clustering by session or site, short-term only outcomes, underpowered tests for small effects, inconsistent behavioral proxies (dwell time, conversation counts) and weak psychometric validation of ultra-brief mediators. Many studies lack pre-registered analysis plans, formal contamination monitoring, or integrated mixed-methods designs that link quantitative effect estimates to visitor sense-making.</w:t>
      </w:r>
    </w:p>
    <w:p>
      <w:r>
        <w:t xml:space="preserve"> </w:t>
      </w:r>
    </w:p>
    <w:p>
      <w:pPr>
        <w:pStyle w:val="Heading2"/>
      </w:pPr>
      <w:r>
        <w:t>Abstract</w:t>
      </w:r>
    </w:p>
    <w:p>
      <w:r>
        <w:t>This study tests whether museum displays that explicitly challenge nationalist historical analogies can shift visitors' social tolerance. We run a pre-registered randomized session-block experiment across three UK archaeological galleries, comparing control labels to three analogy-challenging conditions and A/B wording variants. Primary outcome is an adapted 5-item Social Distance scale administered pre- and post-visit. We combine behavioral indicators (dwell time, initiated conversations, participation in reflective activities), three ultra-brief mediator items, and a nested 6–8 week follow-up on a subsample. Analysis uses Bayesian multilevel models (hierarchical models that account for visitors nested in sessions nested in galleries) and simulation-based power calculations across assumed intra-class correlations. The main contribution is a transparent, mixed-methods, replication-ready protocol that links psychometrically validated attitude measures with observable in-gallery engagement to estimate small-to-moderate effects and psychological pathways. Expected outcome is clear evidence on whether challenging analogies in heritage settings can produce measurable short-term increases in tolerance and guidance for scalable trials.</w:t>
      </w:r>
    </w:p>
    <w:p>
      <w:r>
        <w:t xml:space="preserve"> </w:t>
      </w:r>
    </w:p>
    <w:p>
      <w:pPr>
        <w:pStyle w:val="Heading2"/>
      </w:pPr>
      <w:r>
        <w:t>Experiments</w:t>
      </w:r>
    </w:p>
    <w:p>
      <w:r>
        <w:t>Datasets: visitor-level records from three UK archaeological galleries with unique visitor IDs; pre-survey (baseline tolerance + three single-item mediators), post-survey (primary Social Distance scale), behavioral logs (dwell time per label, time-stamped condition ID, reflective card participation), facilitator checklists, contamination log, and optional consented audio transcripts. Baselines: control (neutral label) and three analogy-challenging arms (structural, moral, identity-continuity); each analogy arm includes two A/B wording variants. Sample sizes: pilot N≈300 visitors (process/power checks), scaled trial N≈1,600–2,000 visitors (≈400–500 per arm) with attrition scenarios 10–30%. Evaluation metrics: primary = change in adapted 5-item Social Distance (mean 1–5); secondary = dwell-time proportion above threshold, count of initiated conversations per visitor, participation rate in reflective activity; psychometric checks = Cronbach's alpha/omega for scale (target ≥0.70), test–retest r for single-item mediators (target ≥0.60), intercoder Cohen’s kappa for conversation coding (target ≥0.70–0.80). Experimental setup: session-block randomization stratified by gallery and visitor type, color-coded tokens with QR pre-survey and time-stamped condition IDs, pre-specified contamination triggers (retrain &gt;10%, pause &gt;20%). Analysis: Bayesian multilevel models (visitor nested in session nested in gallery) with weakly informative priors, report posterior means and 95% credible intervals; primary contrasts are each analogy arm vs control with Holm correction. Power: run simulation-based power with ICC bands session 0.02–0.08 and gallery 0.01–0.03 using simr/powerlmm; report minimum detectable Cohen's d under attrition scenarios. Ablations/comparisons: (1) A/B wording comparison, (2) exclude sessions above contamination threshold, (3) mediator path models (causal mediation if assumptions hold), (4) dwell-threshold comparison (fixed 30s vs site-calibrated thresholds using ROC analysis). Pre-registration: lock random seed, randomization algorithm, calibration decision tree, analysis scripts and data dictionary before main collection.</w:t>
      </w:r>
    </w:p>
    <w:p>
      <w:r>
        <w:t xml:space="preserve"> </w:t>
      </w:r>
    </w:p>
    <w:p>
      <w:pPr>
        <w:pStyle w:val="Heading2"/>
      </w:pPr>
      <w:r>
        <w:t>Risk Factors And Limitations</w:t>
      </w:r>
    </w:p>
    <w:p>
      <w:r>
        <w:t>Low QR opt-in or unequal access to devices causing selection bias; small true effect sizes (Cohen's d near 0.10–0.25) yielding low power if sample or cluster counts are smaller than planned. Session and gallery clustering (design effect) may inflate variance; few clusters per arm can make random-effects unstable. Contamination and spillover between conditions can bias ITT estimates. Behavioral proxies (dwell time) may be noisy or missing due to sensor or observer failure. Single-item mediators may lack reliability for mediation inference. Ethical risks include participant distress from sensitive analogies and uneven community representation in advisory roles. Results may not generalize beyond UK archaeological galleries or to different visitor populations. Data governance constraints (consent limits on audio/video) can reduce qualitative linkage to survey data. Computational limits for large Bayesian models may slow iterative analysis during pilot loops.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