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job_housing_burnout_balance</w:t>
      </w:r>
    </w:p>
    <w:p>
      <w:r>
        <w:t xml:space="preserve"> </w:t>
      </w:r>
    </w:p>
    <w:p>
      <w:pPr>
        <w:pStyle w:val="Heading2"/>
      </w:pPr>
      <w:r>
        <w:t>Title</w:t>
      </w:r>
    </w:p>
    <w:p>
      <w:r>
        <w:t>Assessing the causal effect of job-housing balanced affordable housing on migrant worker job burnout using staggered difference-in-differences and mixed methods</w:t>
      </w:r>
    </w:p>
    <w:p>
      <w:r>
        <w:t xml:space="preserve"> </w:t>
      </w:r>
    </w:p>
    <w:p>
      <w:pPr>
        <w:pStyle w:val="Heading2"/>
      </w:pPr>
      <w:r>
        <w:t>Short Hypothesis</w:t>
      </w:r>
    </w:p>
    <w:p>
      <w:r>
        <w:t>Placement of affordable housing that improves job-housing balance causally reduces work-related burnout among migrant workers within 12 months of move compared with similar workers not receiving such housing.</w:t>
      </w:r>
    </w:p>
    <w:p>
      <w:r>
        <w:t xml:space="preserve"> </w:t>
      </w:r>
    </w:p>
    <w:p>
      <w:pPr>
        <w:pStyle w:val="Heading2"/>
      </w:pPr>
      <w:r>
        <w:t>Related Work</w:t>
      </w:r>
    </w:p>
    <w:p>
      <w:r>
        <w:t>Existing empirical work links spatial mismatch, long commutes, and poor housing to worse mental health and job strain. Many studies use cross-sectional regressions or simple before-after comparisons, which risk confounding by worker selection and time trends. Recent program-evaluation work applies staggered difference-in-differences (DiD) to policy rollouts but faces bias when treatment timing is heterogeneous (negative-weight problems) and when spillovers occur across nearby units. Mediation studies of commute effects often rely on contemporaneous mediators, limiting causal claims, and few combine validated burnout scales with objective mobility or biomarker validators. Qualitative studies document informal housing markets and barriers for migrants but are rarely integrated into causal mediation analysis. Limitations: (1) potential bias from staggered treatment timing and heterogeneous effects; (2) weak or absent mediation temporality (mediator measured same time as outcome); (3) limited crosswalks between different burnout instruments and between subjective and objective validators; (4) under-addressed spillovers and network interference.</w:t>
      </w:r>
    </w:p>
    <w:p>
      <w:r>
        <w:t xml:space="preserve"> </w:t>
      </w:r>
    </w:p>
    <w:p>
      <w:pPr>
        <w:pStyle w:val="Heading2"/>
      </w:pPr>
      <w:r>
        <w:t>Abstract</w:t>
      </w:r>
    </w:p>
    <w:p>
      <w:r>
        <w:t>This study measures whether placing affordable housing that achieves a nearer job-housing balance reduces work-related burnout among migrant workers. We combine a national survey linkage (2018 China Labour Force Dynamic Survey) and 2023 in-depth interviews with pilot rollout data and optional GNSS/actigraphy validators. Causal identification uses staggered difference-in-differences with two robust estimators (Callaway &amp; Sant’Anna and Sun &amp; Abraham), complemented by doubly-robust DiD and synthetic-control checks. The primary outcome is the Copenhagen Burnout Inventory (work-related subscale), operationalized as a 0–100 score with a prespecified minimally important difference. Mechanisms tested are commute-time variability, sleep/recovery, and dormitory-type housing stability using lagged mediators and multilevel mediation estimators. The main contribution is a preregistered, reproducible pipeline that integrates robust causal estimators, mediation temporality, objective mobility validators, and qualitative evidence to inform housing siting policy. Expected outcome: unbiased estimates of average treatment effects at 12 months and quantified mediator contributions to burnout reduction.</w:t>
      </w:r>
    </w:p>
    <w:p>
      <w:r>
        <w:t xml:space="preserve"> </w:t>
      </w:r>
    </w:p>
    <w:p>
      <w:pPr>
        <w:pStyle w:val="Heading2"/>
      </w:pPr>
      <w:r>
        <w:t>Experiments</w:t>
      </w:r>
    </w:p>
    <w:p>
      <w:r>
        <w:t>Datasets: (1) 2018 China Labour Force Dynamic Survey (CLDS) linked to administrative firm and neighborhood identifiers; (2) 2023 in-depth interviews (qualitative) for construct validation; (3) pilot rollout data from 2–3 cities with treatment dates and housing assignment records; (4) optional opt-in GNSS traces and actigraphy sleep data for a subsample; (5) employer administrative absence and turnover records where available. Baselines: ordinary least squares (OLS) naive difference, naive DiD with two-way fixed effects, staggered-DiD estimators Callaway &amp; Sant’Anna (CSA) and Sun &amp; Abraham (S&amp;A), doubly-robust DiD (DR-DiD), and city-level synthetic-control. Primary outcome: CBI work-related subscale scored 0–100 (items averaged), primary metric = mean difference in CBI points and standardized effect size (SD units); minimally important difference (MID) set to 5 points on 0–100 scale (≈0.2 SD). Secondary outcomes: CBI total score, absenteeism days, turnover incidence, objective sleep minutes (actigraphy), GNSS-derived commute-time mean and variability. Preprocessing: harmonize CLDS burnout items to CBI via item-response linking and multi-group confirmatory factor analysis (CFA); decide to use latent-score if scalar invariance fails. Main estimator and inference: report CSA ATT and S&amp;A event-study; cluster SEs two-way (firm × neighborhood); wild-cluster bootstrap if clusters &lt;40. Event windows: quarterly indicators from -12 months to +24 months relative to treatment; pretrend gating: require no significant coefficients in [-12,-1] at p&lt;0.10. Primary ATT: effect at 12 months post-treatment (quarter closest to month 12). Multiple testing: single primary outcome (no correction for main test); apply Benjamini–Hochberg FDR (level 0.05) within secondary outcome families. Mediation: prespecify primary mediator = commute-time variability (standard deviation of daily commute minutes), secondary mediators = sleep minutes and housing stability; estimate indirect effects with longitudinal multilevel structural equation models (lagged mediators measured between treatment and outcome) and sequential g-estimation as robustness; compute bootstrap CIs (2,000 reps) for mediation estimates and report delta-method approximations for indirect-effect MDE. Comparisons/ablations: (A) estimator ablation: compare CSA vs S&amp;A vs DR-DiD vs synthetic-control; (B) mediator ablation: mediation with commute only, with commute+sleep, and full set; (C) data ablation: uses survey-only vs survey+GNSS; (D) measurement ablation: raw sum-scores vs latent scores. Sensitivity checks: placebo treatment at -24 months, buffer exclusions at 500m and 1km, Goodman–Bacon weight decomposition and re-estimation excluding negative-weight pairs &gt;5% weight, and attrition sensitivity using inverse-probability weighting + multiple imputation chained equations (MICE) with auxiliary variables and Lee bounds where monotonicity plausible. Reproducibility: all code in version-controlled repository, R scripts with package versions documented, and a Docker container for exact environment.</w:t>
      </w:r>
    </w:p>
    <w:p>
      <w:r>
        <w:t xml:space="preserve"> </w:t>
      </w:r>
    </w:p>
    <w:p>
      <w:pPr>
        <w:pStyle w:val="Heading2"/>
      </w:pPr>
      <w:r>
        <w:t>Risk Factors And Limitations</w:t>
      </w:r>
    </w:p>
    <w:p>
      <w:r>
        <w:t>1) Treatment noncompliance and low uptake: many assigned workers may not move or use housing, reducing first-stage strength and complicating CACE; 2) Staggered-DiD bias: heterogeneous timing can produce negative-weight issues that change ATT sign; 3) Unobserved confounding: residual time-varying factors at firm or neighborhood level may bias estimates if not captured; 4) Measurement non-invariance: CBI and CLDS items may not be scalar invariant across languages or subgroups, forcing latent-score approaches that are harder to interpret; 5) Selection into optional GNSS/actigraphy: opt-in bias limits generalizability of objective validators; 6) Attrition and missingness: differential follow-up by stressed workers can bias effects and mediation; 7) Spillovers and network interference: treatment effects may spread across nearby workers or firms, violating SUTVA (no-interference); 8) Ethical/legal constraints: collecting location or biomarker data from undocumented migrants may raise legal risks or reduce participation; 9) External validity: pilot-city results and CLDS-linked samples may not generalize nationally; 10) Computational/estimation limits: complex multilevel SEMs, IRT linking, and permutation tests can be computationally intensive for large clustered samples.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