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pastel_color_emotion_study</w:t>
      </w:r>
    </w:p>
    <w:p>
      <w:r>
        <w:t xml:space="preserve"> </w:t>
      </w:r>
    </w:p>
    <w:p>
      <w:pPr>
        <w:pStyle w:val="Heading2"/>
      </w:pPr>
      <w:r>
        <w:t>Title</w:t>
      </w:r>
    </w:p>
    <w:p>
      <w:r>
        <w:t>Controlled experimental investigation of pastel versus saturated color grading effects on viewers' perceived emotions using quantified colorimetric measures</w:t>
      </w:r>
    </w:p>
    <w:p>
      <w:r>
        <w:t xml:space="preserve"> </w:t>
      </w:r>
    </w:p>
    <w:p>
      <w:pPr>
        <w:pStyle w:val="Heading2"/>
      </w:pPr>
      <w:r>
        <w:t>Short Hypothesis</w:t>
      </w:r>
    </w:p>
    <w:p>
      <w:r>
        <w:t>Applying pastel color grading (higher Pastelness Index) to short audiovisual videos causes a change in perceived emotional intensity for targeted basic emotions compared with matched saturated color grading, measured by self-report intensity ratings.</w:t>
      </w:r>
    </w:p>
    <w:p>
      <w:r>
        <w:t xml:space="preserve"> </w:t>
      </w:r>
    </w:p>
    <w:p>
      <w:pPr>
        <w:pStyle w:val="Heading2"/>
      </w:pPr>
      <w:r>
        <w:t>Related Work</w:t>
      </w:r>
    </w:p>
    <w:p>
      <w:r>
        <w:t>Prior work has tested color-emotion associations in images and film and recent studies specifically comparing pastel versus saturated color in audiovisual media report small or null effects. Common limitations across existing approaches are inconsistent color measurement (no single pastel metric), weak colorimetric control across devices (no ΔE00 reporting), small or underpowered samples, lack of preregistered analysis plans, limited psychometric validation of color measures, and confounds with luminance, contrast, audio, and scene content. Physiological studies often lack sample size or synchronized audiovisual calibration. Cross-cultural coverage and reproducible stimulus packages are rare, limiting generalization and replication.</w:t>
      </w:r>
    </w:p>
    <w:p>
      <w:r>
        <w:t xml:space="preserve"> </w:t>
      </w:r>
    </w:p>
    <w:p>
      <w:pPr>
        <w:pStyle w:val="Heading2"/>
      </w:pPr>
      <w:r>
        <w:t>Abstract</w:t>
      </w:r>
    </w:p>
    <w:p>
      <w:r>
        <w:t>This study tests whether pastel color grading alters viewers' perceived emotional intensity in short audiovisual clips. We operationalize pastelness with a reproducible Pastelness Index (PI) and enforce colorimetric QA across devices (ΔE00 tolerances). We will produce a stimulus bank of matched pastel and saturated videos that control luminance, contrast, spatial-frequency content, and audio mappings. Observers from multiple regions will provide self-report emotion-intensity, valence, and arousal ratings while physiological signals (EEG LPP, heart-rate variability, skin conductance) are recorded. The main contribution is an empirically validated, psychometric Pastelness Index, a reproducible stimulus set, and preregistered hierarchical analyses that estimate the effect of PI on subjective and physiological emotion markers. Expected outcome: clear, quantitative bounds on how pastel color affects perceived emotion, plus open data and protocols enabling replication and multi-site comparison.</w:t>
      </w:r>
    </w:p>
    <w:p>
      <w:r>
        <w:t xml:space="preserve"> </w:t>
      </w:r>
    </w:p>
    <w:p>
      <w:pPr>
        <w:pStyle w:val="Heading2"/>
      </w:pPr>
      <w:r>
        <w:t>Experiments</w:t>
      </w:r>
    </w:p>
    <w:p>
      <w:r>
        <w:t>Datasets: (1) Stimulus set: 12 professionally produced videos (6 pastel, 6 saturated) targeting six basic emotions; each video includes embedded calibration frames and JSON metadata (L*, C*ab, hue, PI, ΔE00 per device). (2) Pilot dataset: n=30 for psychometrics and audio congruency. (3) Main dataset: preregistered within-subject sample sized per MDEs below with cross-cultural quotas. Baselines: saturated color versions matched for mean luminance (L*) and RMS contrast; neutral-audio and silence conditions. Evaluation metrics: subjective: emotion-intensity Likert (1–7), valence and arousal scales; psychometrics: ICC (test–retest), Cronbach's alpha, item fit (IRT) for PI; physiological: LPP amplitude (Late Positive Potential; EEG measure of sustained attention/emotion), HRV (heart-rate variability; variability of time between heartbeats), EDA (electrodermal activity; skin conductance). Color QA: ΔE00 distributions per patch and device (ΔE00 is a perceptual color difference metric). Sample-size and minimal detectable effects (MDE): for between-PI contrasts within-subject: d=0.5 → N≈34; d=0.3 → N≈90; d=0.2 → N≈200 (subjective endpoints). Physiological endpoints: increase N by 30–50% (e.g., d=0.3 → N≈120). Statistical setup: primary model is a hierarchical linear mixed-effects model: outcome_ij ~ beta0 + beta1*PI_j + beta2*audio_condition_j + covariates_i + (1 + PI_j | subject_i) + (1 | stimulus_j). Covariates: age, sex, color-preference (centered), display_class (factor), session_order (centered). Multiplicity control: hierarchical testing for primary endpoints, cluster-based permutation for time-series EEG, hierarchical FDR for secondary outcomes. Preprocessing (preregistered): EEG 0.1–40 Hz bandpass, notch 50/60 Hz, epochs −200 to 1500 ms, LPP window 300–800 ms, exclude participants with &gt;30% trial loss. Ablation studies: (A) remove or vary audio congruency (pastel-congruent vs saturated-congruent) to test crossmodal interaction; (B) compare PI as continuous predictor versus binary pastel/saturated factor; (C) remove explicit luminance matching to quantify luminance confound. Baseline comparisons: saturated-matched videos and neutral-audio. Outcomes reported: fixed-effect estimates with 95% CI, standardized effect sizes (d), Bayes factors for primary contrasts, and PI psychometric indices.</w:t>
      </w:r>
    </w:p>
    <w:p>
      <w:r>
        <w:t xml:space="preserve"> </w:t>
      </w:r>
    </w:p>
    <w:p>
      <w:pPr>
        <w:pStyle w:val="Heading2"/>
      </w:pPr>
      <w:r>
        <w:t>Risk Factors And Limitations</w:t>
      </w:r>
    </w:p>
    <w:p>
      <w:r>
        <w:t>Technical failure modes: metamerism across devices (colors that match on one device but differ on another) and calibration drift over sessions; spectroradiometer unavailability at some sites. Data and evaluation biases: cultural differences in color semantics and self-report scales may limit pooling; selection bias from online vs lab samples. Psychometrics limits: PI may show low test–retest reliability or poor item fit, making causal claims weak. Statistical limits: small true effects (d&lt;0.2) require large N and may be infeasible for physiological endpoints. Preprocessing edge-cases: high EEG trial loss or noisy physiological signals can reduce usable sample and bias estimates. Scalability and cost: device-class 1 calibration gear, trained staff, and per-site QA increase cost and limit multisite scaling. Generalization limits: stimuli are short clips and may not generalize to feature films, advertisements, or real-world viewing conditions. Ethical and governance limits: cross-jurisdictional data sharing (GDPR) and licensing of produced stimuli may constrain open dissemination.</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