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monsters_new_anthropology</w:t>
      </w:r>
    </w:p>
    <w:p>
      <w:r>
        <w:t xml:space="preserve"> </w:t>
      </w:r>
    </w:p>
    <w:p>
      <w:pPr>
        <w:pStyle w:val="Heading2"/>
      </w:pPr>
      <w:r>
        <w:t>Title</w:t>
      </w:r>
    </w:p>
    <w:p>
      <w:r>
        <w:t>Multimodal computational and ethnographic analysis of Moscow Conceptualist monstrous imagery to quantify how hybrid representations affect exclusionary discourse</w:t>
      </w:r>
    </w:p>
    <w:p>
      <w:r>
        <w:t xml:space="preserve"> </w:t>
      </w:r>
    </w:p>
    <w:p>
      <w:pPr>
        <w:pStyle w:val="Heading2"/>
      </w:pPr>
      <w:r>
        <w:t>Short Hypothesis</w:t>
      </w:r>
    </w:p>
    <w:p>
      <w:r>
        <w:t>An increase in mirror-attribution density in multimodal artifacts causes a statistically significant rise in exclusionary discourse about associated social categories within the same community timeframe.</w:t>
      </w:r>
    </w:p>
    <w:p>
      <w:r>
        <w:t xml:space="preserve"> </w:t>
      </w:r>
    </w:p>
    <w:p>
      <w:pPr>
        <w:pStyle w:val="Heading2"/>
      </w:pPr>
      <w:r>
        <w:t>Related Work</w:t>
      </w:r>
    </w:p>
    <w:p>
      <w:r>
        <w:t>Existing approaches fall into three groups: (1) text-based methods that use topic models and sentiment classifiers to detect stigma and exclusionary language; (2) computer-vision (CV) methods that classify costumes, prosthetics, and embodied features in images and video; (3) mixed-methods studies that combine ethnography with basic computational counts. Limitations: text-only methods lose visual context and often misread metaphor or cultural nuance; CV-only methods miss discursive attribution and struggle with low-resource languages or culturally specific material culture; mixed-method efforts rarely operationalize joint categories across media, lack reproducible pre-registered pipelines, and often do not include community validation or strict privacy controls. Prior methods therefore cannot reliably measure cross-media mirror-attribution nor estimate its effect on exclusionary discourse while preserving cultural context and participant privacy.</w:t>
      </w:r>
    </w:p>
    <w:p>
      <w:r>
        <w:t xml:space="preserve"> </w:t>
      </w:r>
    </w:p>
    <w:p>
      <w:pPr>
        <w:pStyle w:val="Heading2"/>
      </w:pPr>
      <w:r>
        <w:t>Abstract</w:t>
      </w:r>
    </w:p>
    <w:p>
      <w:r>
        <w:t>This study measures whether and how hybrid, monstrous representations in Moscow Conceptualist poetry and visual art influence exclusionary discourse in associated communities. We combine ethnographic coding with reproducible multimodal pipelines that fuse natural language processing (NLP) on transcripts and social media with computer vision (CV) on photographs and video. Core contributions are: (1) an operationalized Mirror-Attribution index that tags instances where monsters are used to project social attributes, (2) a seeded multimodal classifier trained on community-validated annotations, and (3) mixed-effects causal models that test whether Mirror-Attribution density predicts increases in exclusionary language. The approach is preregistered and uses member-checking to validate interpretation. Expected outcomes include quantifiable effect sizes linking mirror-attribution to exclusionary discourse, a validated cross-media taxonomy, and open, documented pipelines for reproducible analysis that respect graded consent and privacy constraints. Results will inform how transmedia monstrosity functions as a boundary-making mechanism in cultural texts.</w:t>
      </w:r>
    </w:p>
    <w:p>
      <w:r>
        <w:t xml:space="preserve"> </w:t>
      </w:r>
    </w:p>
    <w:p>
      <w:pPr>
        <w:pStyle w:val="Heading2"/>
      </w:pPr>
      <w:r>
        <w:t>Experiments</w:t>
      </w:r>
    </w:p>
    <w:p>
      <w:r>
        <w:t>Datasets: pilot corpus per site (rural, urban, online) with per-site items: 30 life-history interview transcripts, 60 participant-observation field notes, 300 visual/audio artifacts; pooled digital corpus target = 2,000 artifacts. Annotated seed set: 1,200 items stratified by modality and language (text = 600, images = 400, audio/video = 200). Baselines: (A) text-only pipeline: LDA topic model (topic model = algorithm that groups words into themes) + lexicon-based stigma counts + supervised stigma classifier (text classifier trained on human labels); (B) image-only CV: ResNet-based classifier fine-tuned to detect Mediating-Materialities (costume/prosthetic features); (C) naive multimodal early-fusion: concatenate text and image embeddings; (D) human-seeded multimodal fusion (proposed). Evaluation metrics: classification — precision, recall, F1, AUC (area under ROC curve); clustering/topic — Adjusted Rand Index (ARI), Normalized Mutual Information (NMI), topic coherence (C_V); causal effect estimation — mixed-effects model coefficient, p-value, 95% CI, Cohen's d; discourse change — stigma tokens per 1,000 words (rate) and classifier-predicted probability mass. Experimental setup: 5-fold cross-validation with 20% stratified holdout by site; mixed-effects regression with random intercepts for site and participant and random slopes for time; timepoints: pre-ritual, immediate post, 6-month follow-up. Ablations: remove CV modality (text-only), remove human-seeded labels (unsupervised), and compare early-fusion vs late-fusion (combine model outputs after separate processing). Privacy ablation: apply differential privacy noise at epsilons {0.5, 1.0, 1.5} for public aggregates and measure metric degradation. Low-resource test: withhold professional translation for one language subset to evaluate robustness. Statistical tests: report familywise error control via Benjamini-Hochberg false discovery rate (FDR) correction across primary outcomes.</w:t>
      </w:r>
    </w:p>
    <w:p>
      <w:r>
        <w:t xml:space="preserve"> </w:t>
      </w:r>
    </w:p>
    <w:p>
      <w:pPr>
        <w:pStyle w:val="Heading2"/>
      </w:pPr>
      <w:r>
        <w:t>Risk Factors And Limitations</w:t>
      </w:r>
    </w:p>
    <w:p>
      <w:r>
        <w:t>Annotation and coder bias: inconsistent labels across coders will reduce classifier validity; rare phenomena may be underrepresented. Cultural misinterpretation: computational models may misread metaphors or culturally specific practices. Privacy and utility tradeoffs: differential privacy and obfuscation (face blur or synthetic avatars) reduce data utility and may distort visual meaning. Small sample and attrition: pilot sizes may limit power for subgroup tests and longitudinal follow-up; intra-site correlation (cluster effects) may inflate variance. Model bias and fairness: classifiers can amplify representation gaps across language or demographic groups. Computational cost and scalability: CV and multimodal fusion require substantial GPU resources for training and inference. Legal/jurisdictional constraints: cross-border data flows and local laws may restrict data sharing and public release. Generalization limits: results from Moscow Conceptualist materials and selected sites may not generalize to other cultural contexts or modern digital meme ecologies.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