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fuel_subsidy_discourse_id</w:t>
      </w:r>
    </w:p>
    <w:p>
      <w:r>
        <w:t xml:space="preserve"> </w:t>
      </w:r>
    </w:p>
    <w:p>
      <w:pPr>
        <w:pStyle w:val="Heading2"/>
      </w:pPr>
      <w:r>
        <w:t>Title</w:t>
      </w:r>
    </w:p>
    <w:p>
      <w:r>
        <w:t>Discourse analysis and causal inference of Indonesia's fuel subsidy reduction debates using media text, natural experiments, and mediation estimation</w:t>
      </w:r>
    </w:p>
    <w:p>
      <w:r>
        <w:t xml:space="preserve"> </w:t>
      </w:r>
    </w:p>
    <w:p>
      <w:pPr>
        <w:pStyle w:val="Heading2"/>
      </w:pPr>
      <w:r>
        <w:t>Short Hypothesis</w:t>
      </w:r>
    </w:p>
    <w:p>
      <w:r>
        <w:t>Exogenous increases in local media coverage that frame fuel subsidy reduction as an efficiency policy causally increase citizens' support for the reform and reduce willingness-to-protest compared to coverage that emphasizes moral-economy or entitlement frames.</w:t>
      </w:r>
    </w:p>
    <w:p>
      <w:r>
        <w:t xml:space="preserve"> </w:t>
      </w:r>
    </w:p>
    <w:p>
      <w:pPr>
        <w:pStyle w:val="Heading2"/>
      </w:pPr>
      <w:r>
        <w:t>Related Work</w:t>
      </w:r>
    </w:p>
    <w:p>
      <w:r>
        <w:t>Prior work combines text-as-data (automated text methods) with political-economy designs to study policy debates. Common approaches include unsupervised topic models (to discover themes), supervised frame classification (to label frames), staggered difference-in-differences (DiD) for phased policy rollout, and use of media-supply shocks as instruments (to get causal leverage). Mediation methods (to test whether discourse channels effects) are increasingly applied. Limitations: (1) endogeneity of media and policy timing is often unresolved (media and policy co-evolve), (2) measurement error in automated frame counts is common and rarely corrected, (3) geolocation and aggregation rules for mapping media to local units are weak or undocumented, (4) few studies combine validated human coding, instrumental media shocks, and formal mediation estimation, and (5) elite-network dynamics are under-modeled or lack robust missing-data handling. Technical terms: staggered DiD = comparing units treated at different times; instrument = a variable that shifts exposure but not outcomes except through exposure; mediation = testing if an intermediate variable (discourse) carries the effect.</w:t>
      </w:r>
    </w:p>
    <w:p>
      <w:r>
        <w:t xml:space="preserve"> </w:t>
      </w:r>
    </w:p>
    <w:p>
      <w:pPr>
        <w:pStyle w:val="Heading2"/>
      </w:pPr>
      <w:r>
        <w:t>Abstract</w:t>
      </w:r>
    </w:p>
    <w:p>
      <w:r>
        <w:t>This study examines how media discourse shapes public responses and political durability of fuel subsidy reduction in Indonesia. We combine purposive, coded media text from national and regional outlets with plausibly exogenous shocks to media supply (e.g., phased TV analog shutoffs, transmitter outages) and staggered administrative compensation rollouts to identify causal effects of framing. We build validated supervised classifiers for a concise frame taxonomy (efficiency, social-protection, sovereignty, moral-economy, anti-corruption, patriotism), correct measurement error, and aggregate frame exposure to district units. Causal estimators (Callaway &amp; Sant’Anna staggered DiD, event studies, and sequential g-formula mediation) test whether shifts in local frame prevalence change citizens’ support and protest behavior. Complementary vignette RCTs provide experimental bounds on mediator–outcome links. Main contributions: (1) a reproducible pipeline linking geolocated media frames to local outcomes, (2) measurement-error corrected frame indices with validation, and (3) integrated causal and mediation evidence on discourse as a policy lever. Expected impact: clearer evidence for policymakers on how narratives affect reform acceptance and the political feasibility of subsidy reform.</w:t>
      </w:r>
    </w:p>
    <w:p>
      <w:r>
        <w:t xml:space="preserve"> </w:t>
      </w:r>
    </w:p>
    <w:p>
      <w:pPr>
        <w:pStyle w:val="Heading2"/>
      </w:pPr>
      <w:r>
        <w:t>Experiments</w:t>
      </w:r>
    </w:p>
    <w:p>
      <w:r>
        <w:t>Datasets: (1) Purposive corpus of news articles from two national outlets (one state-aligned, one independent) plus sampled regional outlets per province; (2) parliamentary minutes and ministerial speeches; (3) Kominfo ASO schedule and transmitter outage logs; (4) DTKS/BLT payment timing from Kemensos; (5) SUSENAS household surveys for welfare outcomes; (6) coded protest-event data (local NGOs/press); (7) vignette RCT samples (phone and lab-in-field panels). Annotation &amp; ML: double-code 10–15% validation sample; target intercoder Cohen's kappa &gt;= 0.75; train supervised classifiers with 10-fold cross-validation; require classifier F1 &gt;= 0.80 before scaling. Geolocation rules: assign article to district by explicit geotag &gt; place-mention frequency &gt; outlet HQ as fallback; weight circulation by audited audience where available. Measurement correction: apply SIMEX (Simulation Extrapolation) to adjust aggregated discourse indices; assume classical measurement error model. Instruments &amp; identification: instrument district-level discourse exposure with (a) local ASO/transmitter outage indicators and (b) staggered DTKS/BLT payment dates; pre-specify Bacon negative-weight exclusion threshold = 0.20 (exclude cohort pairs if share of negative-weight pairs &gt;20%) and placebo leads = 6 months. Causal estimators: primary: Callaway &amp; Sant’Anna group-time ATT; robustness: Sun &amp; Abraham event-study; mediation: sequential g-formula (longitudinal g-computation) to estimate natural direct and indirect effects; nuisance estimation may use TMLE/ensemble learners with 5-fold cross-fitting. RCT: randomize short framed vignettes (efficiency vs moral-economy vs social-protection vs control) and measure stated support, willingness-to-protest, petition signing (behavioral proxy), and small donation (behavioral proxy). Baselines: (A) keyword-dictionary counts; (B) unsupervised topic model (LDA) frame proxy; (C) uninstrumented DiD without measurement correction. Ablations: (1) SIMEX-corrected vs uncorrected discourse indices; (2) instrumented vs uninstrumented discourse; (3) taxonomy size (6 vs 8 frames). Evaluation metrics: classifier precision/recall/F1, calibration (Brier score), Cohen's kappa; causal metrics: group-time ATT with bootstrapped 95% CI, event-study coefficients, natural direct/indirect effects with bootstrap CIs, rho-sensitivity plots for mediator–outcome confounding. Pre-registered inference: fixed-effects for district and month, cluster SEs at district level, wild cluster bootstrap as robustness, multiple-testing control via Benjamini-Hochberg across primary outcomes.</w:t>
      </w:r>
    </w:p>
    <w:p>
      <w:r>
        <w:t xml:space="preserve"> </w:t>
      </w:r>
    </w:p>
    <w:p>
      <w:pPr>
        <w:pStyle w:val="Heading2"/>
      </w:pPr>
      <w:r>
        <w:t>Risk Factors And Limitations</w:t>
      </w:r>
    </w:p>
    <w:p>
      <w:r>
        <w:t>Technical failures: poor OCR quality on scanned sources raising character-error rates above 5% and harming classifier accuracy; classifier drift if new vocabulary emerges. Data and bias: media outlets may not represent local consumption—audience weighting may be imperfect; mapping articles to districts can misallocate exposure (ambiguity in place mentions). Endogeneity: instruments (ASO, outages, DTKS timing) may imperfectly satisfy exclusion (they could affect outcomes through channels other than discourse). Measurement-error model risk: SIMEX assumes classical error; if error is not classical (e.g., Berkson or correlated errors), corrections may be biased. Scalability and compute: repeated retraining and TMLE with cross-fitting require GPUs/CPUs and storage; notebook-to-reproducible pipeline translation may delay deadlines. Generalization limits: findings tied to Indonesia's media ecology and administrative rollout patterns may not generalize to other countries. Network inference limits: missing-tie assumptions (MAR vs MNAR) will affect ERGM/TERGM results and sensitivity to MNAR may remain unresolved. Ethical and safety limits: political sensitivity may restrict access to administrative data or constrain fieldwork, limiting causal or qualitative triangulation.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