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aisr_brand_advocacy</w:t>
      </w:r>
    </w:p>
    <w:p>
      <w:r>
        <w:t xml:space="preserve"> </w:t>
      </w:r>
    </w:p>
    <w:p>
      <w:pPr>
        <w:pStyle w:val="Heading2"/>
      </w:pPr>
      <w:r>
        <w:t>Title</w:t>
      </w:r>
    </w:p>
    <w:p>
      <w:r>
        <w:t>A mixed-methods experimental study of how two-dimensional AI social responsibility signals affect consumer brand advocacy</w:t>
      </w:r>
    </w:p>
    <w:p>
      <w:r>
        <w:t xml:space="preserve"> </w:t>
      </w:r>
    </w:p>
    <w:p>
      <w:pPr>
        <w:pStyle w:val="Heading2"/>
      </w:pPr>
      <w:r>
        <w:t>Short Hypothesis</w:t>
      </w:r>
    </w:p>
    <w:p>
      <w:r>
        <w:t>Exposure to high AI social-responsibility signals (technical and institutional) increases the probability of observable public brand advocacy within 7 days compared to low-responsibility signals, and this effect is mediated by increased perceived AI credibility and perceived AI empathy.</w:t>
      </w:r>
    </w:p>
    <w:p>
      <w:r>
        <w:t xml:space="preserve"> </w:t>
      </w:r>
    </w:p>
    <w:p>
      <w:pPr>
        <w:pStyle w:val="Heading2"/>
      </w:pPr>
      <w:r>
        <w:t>Related Work</w:t>
      </w:r>
    </w:p>
    <w:p>
      <w:r>
        <w:t>Existing work shows that ethical AI practices and corporate social responsibility (CSR) messaging can raise consumer trust and acceptance and that transparency and fairness disclosures can shape attitudes. Prior studies rely mostly on self-report measures, single-dimension responsibility constructs, small samples, or observational data. Limitations include: no validated multi-dimensional measurement of AI social responsibility (AISR); scarce causal tests linking AISR to actual public behaviors captured by platform traces; limited mediation analyses that can identify psychological pathways; weak or absent NLP pipelines for reliably classifying advocacy across platforms and languages; and few preregistered powered field experiments that account for low baseline advocacy rates. These gaps leave unresolved whether technical (model-level) versus institutional (governance-level) AISR signals have distinct effects on real-world advocacy, how perceived AI credibility and empathy function as causal mechanisms, and how AI literacy moderates these effects.</w:t>
      </w:r>
    </w:p>
    <w:p>
      <w:r>
        <w:t xml:space="preserve"> </w:t>
      </w:r>
    </w:p>
    <w:p>
      <w:pPr>
        <w:pStyle w:val="Heading2"/>
      </w:pPr>
      <w:r>
        <w:t>Abstract</w:t>
      </w:r>
    </w:p>
    <w:p>
      <w:r>
        <w:t>We study whether and how AI social-responsibility signals drive consumers to publicly advocate for brands. We define AI social responsibility (AISR) as two dimensions—technical (model transparency, fairness, privacy controls) and institutional (human oversight, governance, third-party audits)—and develop validated measurement scales. Using mixed methods, we (1) derive AISR items from in-depth interviews and grounded theory; (2) validate scale structure via exploratory and confirmatory factor analysis; and (3) run preregistered experiments: a factorial lab RCT and a field two-arm test linking consented survey responses to platform-traced behavior. Mediators are perceived AI credibility and perceived AI empathy; AI literacy is a moderator. Main contributions are (a) a psychometrically validated two-dimensional AISR scale, (b) causal estimates of AISR effects on observed advocacy, and (c) tested mediation and moderation mechanisms. Expected outcomes include reliable measurement tools, credible causal evidence for AISR-driven advocacy, and practical guidance for communicating verified AI responsibility.</w:t>
      </w:r>
    </w:p>
    <w:p>
      <w:r>
        <w:t xml:space="preserve"> </w:t>
      </w:r>
    </w:p>
    <w:p>
      <w:pPr>
        <w:pStyle w:val="Heading2"/>
      </w:pPr>
      <w:r>
        <w:t>Experiments</w:t>
      </w:r>
    </w:p>
    <w:p>
      <w:r>
        <w:t>Phase 1 — Qualitative scale development: Conduct 30–50 semi-structured interviews using grounded theory (grounded theory = iterative coding to build concepts from interview data). Extract candidate AISR items for two dimensions: technical and institutional. Phase 2 — Survey validation: Administer n=500–800 online survey to quota-balanced panels across target countries. Run EFA (exploratory factor analysis) then CFA (confirmatory factor analysis) to test two-factor structure. Report factor loadings, Cronbach's alpha and McDonald's omega (reliability metrics; acceptable &gt;=0.70). Phase 3 — Lab factorial RCT: 2x2x2 design (technical high/low × institutional high/low × audit-evidence present/absent) with 150–200 participants per cell (total 1,200–1,600). Randomize with stratified block randomization (strata: country, baseline brand familiarity). Measure mediators immediately post-treatment (T1) and collect platform-traced behavioral outcome at 7 days (T2). Primary estimator: intent-to-treat linear probability model (LPM) with platform-clustered robust SEs; report logistic marginal effects as sensitivity. Mediation: pre-specify ACME and ADE estimands (ACME = average causal mediation effect; ADE = average direct effect) and estimate via Imai et al. bootstrap plus sequential g-estimation for sensitivity. Phase 4 — Field two-arm test: randomized high-responsibility vs low-responsibility control, N≈1,500–3,000 to detect a 4 percentage-point absolute increase (power 0.8, alpha=0.05), primary outcome = binary observed advocacy within 7 days measured by share/retweet or NLP-coded public defense or UTM referral clicks. NLP &amp; annotation: create multi-task label schema (advocacy_type, stance, intensity, action_intent, signal_source); annotate ~5,000 examples with multiple annotators; holdout test set; target IAA Cohen's kappa &gt;=0.70 and classifier F1 &gt;=0.80. Baselines: low-responsibility vignette, generic CSR messaging, and no-information control. Ablations: (a) technical-only vs institutional-only vs both, (b) remove third-party audit evidence, (c) mediator omitted model to compare indirect effect sizes. Evaluation metrics: primary = proportion with observed advocacy (binary) and difference in percentages; secondary = self-reported intention to recommend (single item), opt-in conversions, referral click counts; mediation metrics = standardized indirect effect (beta), ACME/ADE and bootstrap CIs; psychometrics = factor loadings, alpha/omega; NLP metrics = F1, precision, recall, calibration plots. Power and clustering: report baseline rate (assume 5%), ICC used, design effect, and sample-size table; small-cluster inference plan includes wild-cluster bootstrap or permutation tests when cluster counts are small. Data sources and linkage: consented platform APIs (hashed IDs), UTM links, server logs; fallback to timestamped screenshots if APIs unavailable. Pre-registration: specify primary hypothesis family, multiplicity correction (Benjamini–Hochberg for secondary analyses), covariates, missing-data rules (MICE with M=20 plus IPW), and interim look rules (none unless pre-specified).</w:t>
      </w:r>
    </w:p>
    <w:p>
      <w:r>
        <w:t xml:space="preserve"> </w:t>
      </w:r>
    </w:p>
    <w:p>
      <w:pPr>
        <w:pStyle w:val="Heading2"/>
      </w:pPr>
      <w:r>
        <w:t>Risk Factors And Limitations</w:t>
      </w:r>
    </w:p>
    <w:p>
      <w:r>
        <w:t>Manipulation fidelity: AISR vignettes may be perceived as unrealistic or weak, reducing effect size. Low baseline behavior: public advocacy rates may be &lt;5%, making field tests underpowered. Measurement bias: self-report intention is noisy and may not match observed behavior. Platform linkage risks: API restrictions, user opt-in refusal, or legal limits can prevent linking survey to traces. NLP errors: classifiers may mislabel advocacy, especially across languages or ironic sarcasm; cross-lingual generalization is limited. Annotation constraints: low inter-annotator agreement (kappa &lt;0.7) reduces classifier validity. Spillover and contamination: participants may share stimuli, causing treatment bleed. Attrition: multi-day follow-up may produce &gt;20% dropout and differential attrition across arms. Causal mediation limits: identifying mediation requires no unmeasured post-treatment confounders (this assumption may fail). Sample and selection biases: online panels and platform users may not represent broader populations. Scalability and compute: large annotated datasets and transformer models require substantial compute and cost. Legal/privacy constraints: DPIA outcomes or platform NDAs may force measurement compromises. Generalization: effects may vary by brand, culture, or platform and not generalize beyond tested contexts.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