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academic_postgrad_competence_iceberg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development and psychometric validation of a competence-iceberg measurement for academic medical postgraduates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Implementing a competence-iceberg instrument derived from mixed qualitative behavioral anchors and calibrated with a graded-response IRT model plus standardized rater training will increase domain-level reliability (G-coefficient) to ≥0.80 and preserve measurement invariance across specialties compared with uncalibrated rubric scoring when tested with N≥500.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include competency frameworks and workplace-based assessments (WBAs) using rubrics, portfolio reviews, and ad hoc item banks; psychometric work has applied classical test theory and some item response theory (IRT) to similar assessments. Limitations are: anchors often task-specific and not cross-specialty comparable; small sample calibrations yielding unstable IRT parameters; sparse response-process (cognitive interview) evidence to explain item functioning; weak or absent DIF (differential item functioning) detection and remediation pipelines; limited longitudinal invariance testing across waves; and inconsistent rater training protocols leading to low inter-rater reliability. These gaps reduce fairness, comparability across specialties, and defensibility for summative decisions.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Academic medical postgraduate programs need valid, fair measures to identify and prioritize competencies for physician-scientist careers. We propose a mixed-methods pipeline that (1) generates cross-specialty behavioral anchors from qualitative interviews, (2) transforms anchors into a 5-point polytomous rubric, and (3) calibrates items with the graded-response IRT model (GRM) to place rubric thresholds on a common latent scale. The main contribution is an empirically justified competence-iceberg instrument with pre-specified decision rules (theta cuts, SEM and G-coefficient gates), a 30/60/90-day DIF remediation workflow, and composite construction rules for formative versus summative use. Expected outcomes are domain theta estimates transformed to a 0–100 reporting scale with documented uncertainty, demonstrated reliability (G≥0.80) under standardized rater training, and evidence of longitudinal measurement invariance. The validated tool will support defensible remediation, curriculum prioritization, and cross-specialty comparisons of scholarly competence in postgraduate training.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Phase A pilot single-site n=200 (diverse specialties, PGY1-5) for item pruning; Phase B multi-site validation N=800 (minimum 500 for primary analyses) stratified by specialty and training track. Collect: rubric item ratings, artifact samples (protocols, teaching materials), supervisor ratings, trainee self-assessments, and demographic groups for DIF (gender, specialty, track). Baselines: (1) uncalibrated rubric composite (sum/mean), (2) standard WBA composite (existing mini-CEX or portfolio score). Metrics: G-coefficient (generalizability) for composites, SEM at decision cuts (0–100 scale), CFA fit indices (CFI, TLI, RMSEA), GRM item slopes and thresholds, DIF detection (ordinal logistic regression ΔR2 and IRT-LR), rater ICC, classification accuracy around cutpoints (sensitivity/specificity), and parameter SEs. Setup: 1) Item development from cognitive interviews (n≈25) then initial GRM calibration on pilot. 2) Randomized rater-training trial within Phase B: standardized calibration training (2–3 h + exemplars) vs minimal orientation to test rater-training effect on ICC and G. 3) Main GRM calibration using concurrent and Stocking-Lord linking for waves; compute theta→0–100 linear transform (mean=50, SD=10 reference) and publish conversion table. 4) DIF analyses: predefine anchors, run ordinal regression ΔR2 threshold 0.02 and IRT-LR, follow 30/60/90 remediation pipeline; ablation studies: (A) omit cognitive-interview revisions, (B) omit DIF remediation, (C) use alternative linking (mean-mean) to compare effects. 5) Longitudinal: multilevel growth models (time within person) and longitudinal IRT invariance tests (configural→metric→scalar). 6) Simulations: Monte Carlo to map Δtheta to 0–100 points, misclassification rates, and sample-size effects on parameter recovery.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items may show low discrimination (weak relation to latent trait) or strong multidimensionality that violates unidimensional GRM assumptions. Persistent DIF: some items may remain biased after revision and require retirement, reducing content coverage. Rater issues: poor rater uptake or drift could keep ICCs low despite training. Data and sampling: recruitment shortfalls or high attrition reduce power for IRT and DIF detection; missing data may be MNAR (not missing at random) and bias growth estimates. Generalization limits: calibration reference sample may not transfer across countries or accreditation systems. Computational limits: Bayesian IRT or large-scale bootstraps require high compute for simulations. Legal/privacy constraints: cross-jurisdiction data sharing and artifact use may be restricted, limiting multisite aggregation.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