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asmarat_resettlement_livelihoods</w:t>
      </w:r>
    </w:p>
    <w:p>
      <w:r>
        <w:t xml:space="preserve"> </w:t>
      </w:r>
    </w:p>
    <w:p>
      <w:pPr>
        <w:pStyle w:val="Heading2"/>
      </w:pPr>
      <w:r>
        <w:t>Title</w:t>
      </w:r>
    </w:p>
    <w:p>
      <w:r>
        <w:t>Difference-in-differences and mixed-methods assessment of livelihood adaptation and socioeconomic outcomes among Mokattam resettled households in Asmarat, Cairo</w:t>
      </w:r>
    </w:p>
    <w:p>
      <w:r>
        <w:t xml:space="preserve"> </w:t>
      </w:r>
    </w:p>
    <w:p>
      <w:pPr>
        <w:pStyle w:val="Heading2"/>
      </w:pPr>
      <w:r>
        <w:t>Short Hypothesis</w:t>
      </w:r>
    </w:p>
    <w:p>
      <w:r>
        <w:t>Adoption of diversified livelihood adaptation strategies after resettlement causally increases household income and improves mental-health scores relative to matched non-adopters, conditional on pre-move characteristics.</w:t>
      </w:r>
    </w:p>
    <w:p>
      <w:r>
        <w:t xml:space="preserve"> </w:t>
      </w:r>
    </w:p>
    <w:p>
      <w:pPr>
        <w:pStyle w:val="Heading2"/>
      </w:pPr>
      <w:r>
        <w:t>Related Work</w:t>
      </w:r>
    </w:p>
    <w:p>
      <w:r>
        <w:t>Existing work evaluates resettlement and livelihood change using cross-sectional surveys, qualitative case studies, and quantitative panel methods (difference-in-differences, propensity-score matching). Sustainable livelihoods frameworks have been used to classify assets and coping strategies. Spatial accessibility and service provision have been modeled using GIS travel-time methods. Mental-health screening scales (PHQ-9, WHO-5) are commonly used in household surveys. Limitations in prior approaches include: (1) residual selection bias when treated and comparison groups are not strictly comparable or when matching uses post-move variables; (2) weak pre-trend assessment or short pre-treatment windows for DiD designs; (3) poor integration of qualitative mechanisms with quantitative causal estimates; (4) disclosure/privacy trade-offs in spatial analyses that reduce spatial precision; (5) inconsistent measurement of informal and in-kind income leading to biased welfare estimates; (6) limited attention to attrition and differential tracing leading to biased longitudinal inference.</w:t>
      </w:r>
    </w:p>
    <w:p>
      <w:r>
        <w:t xml:space="preserve"> </w:t>
      </w:r>
    </w:p>
    <w:p>
      <w:pPr>
        <w:pStyle w:val="Heading2"/>
      </w:pPr>
      <w:r>
        <w:t>Abstract</w:t>
      </w:r>
    </w:p>
    <w:p>
      <w:r>
        <w:t>This study measures how adaptive livelihood strategies and economic shocks affect post-resettlement socioeconomic outcomes for households moved under the Mokattam project to Asmarat, Cairo. We apply a mixed-methods design combining a cluster-aware matched difference-in-differences (DiD) quantitative panel with longitudinal qualitative life histories and spatial accessibility analysis. Primary outcomes are log household income, consumption per capita, employment hours, business income, PHQ-9 and WHO-5 mental-health scores, and life satisfaction. Quantitative identification uses pre-move covariate matching (propensity scores, entropy balancing), household fixed effects, clustered standard errors, and robustness checks (IPW for attrition, Lee bounds, Rosenbaum bounds for hidden bias). Qualitative modules trace mechanisms behind livelihood shifts and inform mediation analysis. Spatial analysis links travel-time to markets and services to livelihood viability. Main contributions: (1) robust causal estimates of how specific adaptation strategies affect economic and mental-health outcomes after resettlement, (2) integrated narratives that explain mechanisms, and (3) evaluated trade-offs between spatial privacy and analytic precision. Expected outcome: actionable evidence for policies that pair housing resettlement with targeted livelihood supports.</w:t>
      </w:r>
    </w:p>
    <w:p>
      <w:r>
        <w:t xml:space="preserve"> </w:t>
      </w:r>
    </w:p>
    <w:p>
      <w:pPr>
        <w:pStyle w:val="Heading2"/>
      </w:pPr>
      <w:r>
        <w:t>Experiments</w:t>
      </w:r>
    </w:p>
    <w:p>
      <w:r>
        <w:t>Datasets: (1) Panel household survey baseline N_resettled=1,200 and N_comparison=600 with follow-ups at 12 and 24 months; variables: pre-move income/assets/occupation, post-move income components, consumption, employment hours, business revenue, PHQ-9, WHO-5, life satisfaction, demographic controls; (2) Qualitative longitudinal sample N=40-60 life histories; (3) Travel-time diary sample N=100-150 for GIS validation; (4) Clinical calibration subsample N≈60 for PHQ-9 cutoff validation. Baselines for comparison: (A) matched DiD (propensity-score matching 1:2 with caliper 0.05 SD on logit), (B) DiD with entropy balancing, (C) augmented inverse-probability weighting (AIPW)/targeted maximum likelihood estimation (TMLE), (D) synthetic control (if applicable by cluster), (E) cross-sectional OLS as naive baseline. Evaluation metrics: average treatment effect on treated (ATT) for continuous outcomes (report point estimate, standard error, 95% CI), standardized mean differences (SMD) for covariate balance (target SMD&lt;0.10), MDES (minimum detectable effect sizes) per outcome, prevalence/risk-difference for binary outcomes (employment loss, clinical PHQ-9 case), RMSE and bias for travel-time model vs diary, sensitivity metrics from Rosenbaum bounds, percentage of masks where coefficient sign/significance changes (for geomasking ablation). Experimental setup: estimate household fixed-effects DiD: outcome_it = alpha_i + gamma_t + beta*treated_i*post_t + X_it'delta + epsilon_it, cluster SEs at neighborhood level; run event-study lead/lag coefficients with joint pre-trend tests; implement IPW for attrition and compute Lee bounds when attrition differs by treatment. Pre-specified heterogeneity: split by female headship, tenure type, original livelihood. Ablation studies: (1) Estimator ablation: compare matched DiD vs DiD+IPW vs AIPW/TMLE to measure estimator sensitivity; (2) Spatial privacy ablation: run key spatial regressions on true coordinates vs geomasked coordinates (multiple mask draws) and report parameter stability (mean, SD, % sign changes); (3) Mechanism ablation: mediation models with vs without qualitative-coded mediators (e.g., network access, credit use) to quantify mediation share. Pre-registration and analysis code: commit reproducible scripts (R/Python) and plain-text pre-analysis plan specifying estimands, variance estimators, multiplicity correction (Benjamini-Hochberg for families of outcomes), and primary vs exploratory outcomes before unblinding.</w:t>
      </w:r>
    </w:p>
    <w:p>
      <w:r>
        <w:t xml:space="preserve"> </w:t>
      </w:r>
    </w:p>
    <w:p>
      <w:pPr>
        <w:pStyle w:val="Heading2"/>
      </w:pPr>
      <w:r>
        <w:t>Risk Factors And Limitations</w:t>
      </w:r>
    </w:p>
    <w:p>
      <w:r>
        <w:t>Selection and identification risks: residual confounding if pre-move covariates are missing or measured with error (threat to causal inference). Attrition bias: differential loss to follow-up can bias longitudinal estimates; IPCW and Lee bounds may be insufficient if attrition is high (&gt;25%). Measurement error: informal and in-kind income hard to measure, causing attenuation bias in income effects. Small calibration samples: PHQ-9 clinical N≈60 may limit precise cutoff calibration. Spatial privacy trade-offs: geomasking reduces re-identification risk but can change accessibility measures and spatial regression coefficients (parameter instability). Spillovers and contamination: nearby non-resettled households may be indirectly affected, violating stable unit treatment value assumption (SUTVA). Scalability and compute: MGWR/SAR and 1,000+ geomask simulations require moderate compute resources and secure servers; limited compute could constrain sensitivity checks. Generalizability: findings from Asmarat and Mokattam context may not generalize to rural resettlement or different cities. Ethical/legal constraints: sharing microdata may be restricted, limiting external replication. Non-response and social desirability: sensitive items (income, mental health) may suffer bias. Technical failure modes: GPS inaccuracies, corrupted geocode linking files, or mismatched IDs between survey and clinical subsamples can disrupt merged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