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financial_factors_household_happiness_china</w:t>
      </w:r>
    </w:p>
    <w:p>
      <w:r>
        <w:t xml:space="preserve"> </w:t>
      </w:r>
    </w:p>
    <w:p>
      <w:pPr>
        <w:pStyle w:val="Heading2"/>
      </w:pPr>
      <w:r>
        <w:t>Title</w:t>
      </w:r>
    </w:p>
    <w:p>
      <w:r>
        <w:t>Causal analysis using staggered difference-in-differences, fuzzy regression discontinuity, and instrumental variables of how financial factors shape household happiness among China’s aging population</w:t>
      </w:r>
    </w:p>
    <w:p>
      <w:r>
        <w:t xml:space="preserve"> </w:t>
      </w:r>
    </w:p>
    <w:p>
      <w:pPr>
        <w:pStyle w:val="Heading2"/>
      </w:pPr>
      <w:r>
        <w:t>Short Hypothesis</w:t>
      </w:r>
    </w:p>
    <w:p>
      <w:r>
        <w:t>Exogenous increases in predictable pension income causally raise household life satisfaction for households with a higher share of older members.</w:t>
      </w:r>
    </w:p>
    <w:p>
      <w:r>
        <w:t xml:space="preserve"> </w:t>
      </w:r>
    </w:p>
    <w:p>
      <w:pPr>
        <w:pStyle w:val="Heading2"/>
      </w:pPr>
      <w:r>
        <w:t>Related Work</w:t>
      </w:r>
    </w:p>
    <w:p>
      <w:r>
        <w:t>Existing work links income and financial security to subjective well-being using cross-sectional correlations, panel fixed-effects, instrumental-variable (IV) approaches, regression discontinuity designs (RDD), and difference-in-differences (DID). Studies using IV and RDD seek causal estimates by exploiting policy cutoffs or rollout timing, while staggered DID methods use variation in when areas receive policy changes. Limitations remain: many analyses rely on cross-sectional associations or weak instruments that weaken causal claims; staggered-DID estimates can produce negative aggregation weights and be sensitive to heterogeneous timing; RDD can be local and not generalize beyond the cutoff; measurement of subjective well-being (SWB) often lacks harmonization across surveys, producing comparability issues; and aging samples face attrition and proxy-response biases. Mediation channels (risk attitudes, financial literacy, debt) are often under-examined with causal mediation methods.</w:t>
      </w:r>
    </w:p>
    <w:p>
      <w:r>
        <w:t xml:space="preserve"> </w:t>
      </w:r>
    </w:p>
    <w:p>
      <w:pPr>
        <w:pStyle w:val="Heading2"/>
      </w:pPr>
      <w:r>
        <w:t>Abstract</w:t>
      </w:r>
    </w:p>
    <w:p>
      <w:r>
        <w:t>This study examines how financial factors — pension receipt, financial literacy, risk aversion, and household debt — affect household happiness in China’s aging population. We use repeated national household survey data and three complementary causal designs: staggered difference-in-differences that exploits regional pension rollouts, fuzzy regression discontinuity at eligibility cutoffs, and instrumental-variable estimation using cohort or county rollout intensity. Subjective well-being is harmonized across waves and tested for measurement invariance; where needed we use latent scores from item response models. The main contribution is a pre-registered, multi-method causal assessment that quantifies direct effects of predictable pension income on life satisfaction and tests mediation via liquidity and debt. Expected outcomes are robust, policy-relevant estimates of effect sizes (in standard-deviation units and CNY equivalents), diagnostics of identification assumptions, and sensitivity analyses addressing attrition, weak instruments, and measurement non-invariance. Results are intended to inform pension and debt policy design for older households.</w:t>
      </w:r>
    </w:p>
    <w:p>
      <w:r>
        <w:t xml:space="preserve"> </w:t>
      </w:r>
    </w:p>
    <w:p>
      <w:pPr>
        <w:pStyle w:val="Heading2"/>
      </w:pPr>
      <w:r>
        <w:t>Experiments</w:t>
      </w:r>
    </w:p>
    <w:p>
      <w:r>
        <w:t>Datasets: China Household Finance Survey (CHFS) waves 2015, 2017, 2019; sample: households with at least one member aged 60+, panel subset when available. Outcomes: SWB_LifeSat_0_10 (life satisfaction 0–10) primary; SWB_Happy_1_5 (happiness 1–5) secondary; latent SWB factor (EAP) from graded-response IRT as robustness. Baselines: (A) naive ordered-logit with baseline covariates; (B) individual fixed-effect linear model; (C) Callaway–Sant’Anna staggered-DID; (D) Sun–Abraham robustness; (E) fuzzy RDD at eligibility cutoff via rdrobust; (F) IV 2SLS with LIML robustness using cohort eligibility or county rollout intensity as instruments. Covariates and controls: age, age^2, sex, education, hukou, marital status, baseline ADL count, baseline cognition, household size, log baseline household income, year FE, individual or household FE; cluster SEs at county. Evaluation metrics: coefficient estimates, 95% CI, p-values, standardized effect (SD units), minimum detectable effect (MDE) from Monte Carlo simulations, first-stage F-statistic, McCrary density p-value, CFA fit indices (CFI, TLI, RMSEA) for invariance, balance tests (pre-treatment means). Ablations and comparisons: (1) observed scale outcomes versus latent SWB; (2) full model versus excluding debt variables to test mediation; (3) Callaway vs Sun–Abraham aggregation; (4) alternative RDD bandwidth selectors (MSE-optimal, IK, CER); (5) IV with and without LIML and Anderson–Rubin inference when F&lt;10. Sensitivity analyses: IPCW and multiple imputation for attrition, Lee bounds for selection, placebo lead coefficients (pre-trend tests) over pre-specified windows. All code and seeds for simulation and estimation will be archived.</w:t>
      </w:r>
    </w:p>
    <w:p>
      <w:r>
        <w:t xml:space="preserve"> </w:t>
      </w:r>
    </w:p>
    <w:p>
      <w:pPr>
        <w:pStyle w:val="Heading2"/>
      </w:pPr>
      <w:r>
        <w:t>Risk Factors And Limitations</w:t>
      </w:r>
    </w:p>
    <w:p>
      <w:r>
        <w:t>Instrument validity risk: instruments (cohort eligibility, rollout intensity) may weakly predict treatment or violate exclusion, limiting causal interpretation. Measurement risk: SWB items may lack scalar invariance across groups, so latent-score comparability could fail. Attrition and survival selection: selective dropout and death among older adults can bias panel estimates and reduce power. Staggered-DID limitations: heterogeneous timing can produce negative aggregation weights and trimming choices can influence results. RDD locality: fuzzy RDD estimates apply near the cutoff and may not generalize. Policy coding errors: inaccurate rollout or eligibility metadata can bias identification. Sample size and clustering: limited clusters or small subgroup cells reduce precision and invalidate asymptotic SEs. Unobserved confounding in mediation: mediator-outcome confounding can bias mediation estimates. These factors limit generalization and the strength of causal claims.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