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vouchers_fruit_affordability_nv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randomized controlled trial assessing the effect of fruit vouchers on affordability and consumption among peri-urban and urban households in Nigeria and Vietnam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Providing vouchers that reduce the effective retail price of fruit to targeted households increases mean daily fruit servings per targeted individual relative to no vouchers.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voucher and subsidy interventions have shown short-term increases in fruit or healthy-food purchases during implementation but often limited sustained impacts after programs end; cross-country evidence is mixed with some lasting effects in one context and fade-out in another. Prior studies commonly omit: (1) pre-specified, cluster-level causal estimands with small-sample inference plans; (2) explicit tests for market responses such as vendor price inflation and supply elasticity; (3) harmonized biomarker measurement linked to consumption outcomes; and (4) rigorous spatial-contamination and fraud-detection protocols. These gaps leave open whether observed consumption gains reflect sustained affordability improvements, temporary shifts in purchasing, vendor-driven price changes, or measurement artifacts.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reducing the effective price of fruit via household vouchers causally increases fruit affordability and consumption in peri-urban and urban areas of Nigeria and Vietnam. We implement a cluster-randomized controlled trial with multiple arms (control, low-value voucher, high-value voucher, and high-value plus behavioral nudges). The primary outcome is mean daily fruit servings for the targeted individual (woman aged 15–49 or index child). Primary analysis estimates the intent-to-treat effect using a prespecified clustered regression controlling for baseline covariates; instrumental-variable analysis using assignment as an instrument for redemption will estimate complier effects. Secondary analyses examine vendor prices, voucher redemption, and biomarkers (hemoglobin for full sample; ferritin plus inflammation markers on a 30–40% dried-blood-spot subsample). The main contribution is a transparent, policy-relevant estimate of voucher impacts on consumption, affordability, supply response, and nutrition biomarkers, together with pre-registered inference rules and power scenarios to inform scalability decisions.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baseline household survey, midline and endline household surveys with 24-hour recalls, voucher issuance and redemption transaction logs, vendor price panel (weekly prices by vendor), vendor census, HemoCue hemoglobin for full sample, dried-blood-spot (DBS) lab results for ferritin, CRP, AGP on a prespecified 30–40% subsample, GIS cluster shapefiles. Design: cluster-randomized assignment at market-cluster level with arms = {control, low_voucher, high_voucher, high_voucher_plus_nudges}. Planned cluster sample ranges: clusters per arm J = 25–40, cluster size m = 30–50 households (use exact numbers from baseline). Primary estimator: OLS regression with cluster-robust standard errors and stratification fixed effects (prespecified regression: Y_ij = α + Σ_k β_k Arm_kj + γ Y_i0 + X_i'θ + η_s + ε_ij). Robustness comparisons: (a) linear mixed-effects model with cluster random intercept (to compare with OLS), (b) wild cluster bootstrap and randomization inference for small cluster counts (explained simply: alternative ways to compute p-values when few clusters), (c) IV (assignment instrumenting redemption) with first-stage F-stat threshold &gt;10 and weak-instrument procedures if F&lt;10. Baselines and covariates: baseline servings, age, household size, wealth index, market-access index, child&lt;5 indicator, pregnancy indicator, urban/rural. Primary metric: ITT point estimates β_k and 95% confidence intervals for servings/day. Secondary metrics: voucher redemption rate, median vendor price per serving, anemia prevalence (Hb &lt; country cutoff), inflammation-adjusted ferritin (BRINDA-style adjustment: ferritin statistically adjusted for CRP and AGP), and cost-effectiveness (cost per additional serving). Ablation/comparison studies: (1) compare low_voucher vs high_voucher to estimate dose-response; (2) compare high_voucher vs high_voucher_plus_nudges to estimate incremental effect of nudges; (3) exclude clusters within 3 km of treated clusters to assess contamination; (4) alternative outcome definitions: grams vs 100-g servings and alternative trimming/winsorization rules (top 0.5% vs percentile-based trimming). Pre-specified multiple-testing: control family-wise error for primary family and false-discovery rate for broader outcomes (procedures detailed in analysis plan). Power scenarios: present MDE tables for SD range 1.0–1.4 and ICC 0.01–0.05; example scenario SD=1.2, ICC=0.02, m=40, J=30 per arm → 80% power MDE ≈0.18 servings/day.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Market response risk: voucher-driven demand may raise vendor prices (price inflation) or trigger substitution that erodes affordability. 2) Supply constraints: limited short-run supply elasticity may cause stockouts or selection of larger vendors, reducing generalizability to small informal sellers. 3) Fraud and leakage: voucher resale or falsified redemptions may bias uptake estimates and cost-effectiveness. 4) Contamination and spillovers: spatial movement of buyers or vendors may dilute estimated effects in neighboring control clusters. 5) Attrition and missing data: differential follow-up could bias ITT estimates if high or imbalanced. 6) Small-cluster inference: few clusters per arm reduces statistical power and complicates valid p-value computation. 7) Weak instrument for IV: low or uneven redemption reduces the strength of assignment as an instrument. 8) Biomarker subsample limits: DBS subsample may be non-representative and underpowered for some biomarker outcomes. 9) Measurement error: 24-hour recalls and portion-size estimation introduce noise in servings. 10) Seasonal and contextual limits: results from peri-urban/urban sites and specific seasons may not generalize to rural areas or other time periods. 11) Data privacy risk: geospatial jittering may not fully eliminate re-identification risk for rare-location clusters. 12) Budget and lab capacity constraints: may limit biomarker breadth or QC repeat testing.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