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indo_early_adol_suicide_combined</w:t>
      </w:r>
    </w:p>
    <w:p>
      <w:r>
        <w:t xml:space="preserve"> </w:t>
      </w:r>
    </w:p>
    <w:p>
      <w:pPr>
        <w:pStyle w:val="Heading2"/>
      </w:pPr>
      <w:r>
        <w:t>Title</w:t>
      </w:r>
    </w:p>
    <w:p>
      <w:r>
        <w:t>A randomized controlled trial of combined psychosocial and pharmacologic interventions with digital risk monitoring to reduce suicide risk in Indonesian early adolescents</w:t>
      </w:r>
    </w:p>
    <w:p>
      <w:r>
        <w:t xml:space="preserve"> </w:t>
      </w:r>
    </w:p>
    <w:p>
      <w:pPr>
        <w:pStyle w:val="Heading2"/>
      </w:pPr>
      <w:r>
        <w:t>Short Hypothesis</w:t>
      </w:r>
    </w:p>
    <w:p>
      <w:r>
        <w:t>In adolescents aged 10–14 with active suicidal ideation, a combined intervention of structured psychosocial therapy plus guideline-based pharmacotherapy and real-time EMA monitoring will produce a greater reduction in C-SSRS severity scores at 12 weeks than psychosocial therapy alone.</w:t>
      </w:r>
    </w:p>
    <w:p>
      <w:r>
        <w:t xml:space="preserve"> </w:t>
      </w:r>
    </w:p>
    <w:p>
      <w:pPr>
        <w:pStyle w:val="Heading2"/>
      </w:pPr>
      <w:r>
        <w:t>Related Work</w:t>
      </w:r>
    </w:p>
    <w:p>
      <w:r>
        <w:t>Existing approaches include standalone psychosocial interventions for suicidal youth (for example, cognitive behavioral therapy for suicidality and family safety planning), SSRI pharmacotherapy trials in adolescents (with fluoxetine having the strongest randomized evidence), mood-stabilizer use in bipolar-spectrum youth (limited pediatric evidence), and emergent use of ecological momentary assessment (EMA) for remote risk detection. Comparative limitations are: most high-quality trials were done in high-income countries and may not generalize to Indonesia; pharmacologic evidence for lithium and other mood stabilizers in early adolescents is scarce and monitoring-heavy; SSRIs have known activation and suicidality signal concerns that require careful monitoring; digital EMA studies show promise for near‑real‑time detection but generate many false positives and clinician workload without standardized persistence rules; measurement tools like the C-SSRS require local validation (language and culture) to ensure they measure the same construct across regions. Trials rarely integrate rigorous psychometric validation, culturally grounded adaptation, robust lab/monitoring logistics, and DSMB-stopped safety rules together.</w:t>
      </w:r>
    </w:p>
    <w:p>
      <w:r>
        <w:t xml:space="preserve"> </w:t>
      </w:r>
    </w:p>
    <w:p>
      <w:pPr>
        <w:pStyle w:val="Heading2"/>
      </w:pPr>
      <w:r>
        <w:t>Abstract</w:t>
      </w:r>
    </w:p>
    <w:p>
      <w:r>
        <w:t>Suicide risk among Indonesian early adolescents is a pressing public-health problem with limited locally validated combined-treatment evidence. We propose a randomized controlled trial comparing structured psychosocial therapy alone versus the same therapy combined with guideline-based pharmacotherapy (SSRI ± mood-stabilizer where indicated) and integrated real-time EMA risk monitoring. The study will enroll adolescents aged 10–14 with active suicidal ideation and use the C-SSRS severity score as the continuous primary outcome at 12 weeks. Key contributions are: (1) testing the added effect of pharmacotherapy within a culturally adapted psychosocial framework; (2) validating C-SSRS psychometrics across Indonesian regions; and (3) evaluating a tiered EMA alert algorithm for safe, scalable risk detection. Expected outcomes include evidence on efficacy of combined care, validated measurement tools for Indonesia, and operational procedures for safe medication monitoring and digital escalation. Results will inform clinical guidelines and trial-ready SOPs for low- and middle-income settings.</w:t>
      </w:r>
    </w:p>
    <w:p>
      <w:r>
        <w:t xml:space="preserve"> </w:t>
      </w:r>
    </w:p>
    <w:p>
      <w:pPr>
        <w:pStyle w:val="Heading2"/>
      </w:pPr>
      <w:r>
        <w:t>Experiments</w:t>
      </w:r>
    </w:p>
    <w:p>
      <w:r>
        <w:t>Study design: individual randomized controlled trial with two primary arms and a nested mood-stabilizer substudy. Population: adolescents age 10–14 years in Indonesia meeting C-SSRS severity ≥4 at screening. Sample size: N=240 randomized 1:1 (120 per arm); nested bipolar-screen positive subgroup for mood-stabilizer feasibility. Arms: A) psychosocial therapy only (manualized CBT-for-suicidality + family safety plan); B) psychosocial therapy + pharmacotherapy (first-line SSRI [fluoxetine preferred] per weight/age; mood-stabilizer added only after mandatory bipolar diagnostic pathway). Randomization: stratified by site and baseline severity, block randomization. Primary outcome: change in C-SSRS severity score from baseline to 12 weeks (continuous). Secondary outcomes: occurrence of suicide attempts, psychiatric hospitalizations, PHQ-A depression score change, functioning scales, adverse events, and EMA adherence. Psychometrics: EFA (exploratory factor analysis) then CFA (confirmatory factor analysis) on C-SSRS items; internal consistency (Cronbach's alpha), test–retest ICC (intraclass correlation) in a retest subsample N=100; MCID (minimum clinically important difference) estimation using anchor-based methods. EMA: schedule 3 prompts/day during weeks 0–12 then taper; risk algorithm defined with Level 1/2/3 thresholds and persistence rules; collect EMA adherence rates. Analysis: primary mixed-effects linear model (random intercepts for participant and site) with fixed effects treatment, time, treatment×time and covariates (age, sex, baseline severity). Missing data: primary MAR assumption handled via mixed models; sensitivity with multiple imputation by chained equations (MICE) and pattern‑mixture/tipping‑point analyses for MNAR (missing not at random). Baselines for comparison: psychosocial-only arm and ablation studies: (1) remove pharmacologic component (primary contrast), (2) remove digital EMA alerts (compare outcomes in a pre-specified subgroup with EMA collected but alerts disabled) to assess contribution of monitoring. Safety monitoring: DSMB safety review at 50% enrollment and scheduled interim safety logs; SAE adjudication per protocol. Cluster effects: include site random effects and report intracluster correlation; re-run power-adjusted analyses if clustering higher than pre-specified ICC scenarios.</w:t>
      </w:r>
    </w:p>
    <w:p>
      <w:r>
        <w:t xml:space="preserve"> </w:t>
      </w:r>
    </w:p>
    <w:p>
      <w:pPr>
        <w:pStyle w:val="Heading2"/>
      </w:pPr>
      <w:r>
        <w:t>Risk Factors And Limitations</w:t>
      </w:r>
    </w:p>
    <w:p>
      <w:r>
        <w:t>Clinical safety risks: medication adverse effects (lithium toxicity, SSRI activation), missed or delayed lab monitoring in resource-poor sites, and incomplete pregnancy/contraception legal clarity for minors. Data risks: low EMA adherence or high missingness leading to biased results, and high false-positive alert rates causing clinician overload. Measurement risks: sample size may be marginal for robust CFA given instrument length; measurement invariance across languages/regions may fail. Operational limits: supply chain or lab turnaround delays (&gt;7 days) and limited on-call clinician capacity in remote sites. Generalization limits: findings may not transfer to older adolescents, other countries, or non-school settings. Ethical/regulatory limits: adolescent assent vs caregiver data access tensions under PDPL and local laws on minors’ contraception/pregnancy care. Technical limits: digital divide (offline-capacity required), and possible insufficient power to detect rare outcomes (suicide attempts) within N=240. Statistical limits: cluster or therapist effects may reduce effective sample size if not fully controlled.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