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employer_influence_family_russia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Measuring employer influence on employees' family decisions using clustered surveys and firm-level interventions across Russian regions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Employer-provided supports and managerial practices causally increase employees' short-term fertility intentions and parental-leave uptake and accelerate birth timing compared to employees without such employer influence.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examines links between workplace policy and family outcomes using cross-sectional surveys, administrative record studies, and small-scale experiments. Approaches commonly measure formal policies (leave length, pay) or macro policies (regional childcare) and estimate associations with fertility or leave uptake using regression or difference-in-differences. Limitations: (1) weak measurement of informal managerial norms that affect uptake, (2) limited causal identification when assignment to employer policies is endogenous, (3) insufficient clustering and small-cluster inference adjustments, (4) sparse validation of self-reported births against administrative records, and (5) limited treatment of contamination/spillovers across firms. Existing experimental work often lacks scale for precise effect detection in rare outcomes (births) and rarely integrates qualitative-derived latent constructs for informal norms.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employer supports and managerial practices affect employees' family decisions in Russia. We combine a clustered survey of employees across 15 regions (target N≈3,000 in ≈300 firms), a pilot cluster-randomized trial of firm-level HR nudges and manager training, and validation linkage to administrative birth records in a subsample. We develop an employer-influence index that combines formal policy generosity and a latent measure of informal managerial norms derived from qualitative coding and confirmatory factor analysis. Primary outcomes are binary fertility intention (intend child within 3 years), discrete-time birth timing (hazard models), and parental-leave uptake (binary). We report intent-to-treat (ITT) estimates, complier average causal effects (LATE) via instrumental variables (assignment as instrument), and mediation analysis for norm pathways. Expected contributions: validated measurement of employer influence, causal estimates of firm-level interventions on family decisions, and operational guidance for corporate demographic policy.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Main clustered survey across 15 Russian regions, N≈3,000 employees in ≈300 firms, strata by firm size/sector/formal vs informal employment; (B) Pilot experimental sample 30–50 firms, pilot N≈250–500 employees, randomized at firm level; (C) Validation subsample N≈200 with linkage to administrative birth registry. Baselines: (1) multilevel logistic regression for binary outcomes (employees nested in firms) with firm-cluster robust SEs; (2) discrete-time hazard models for birth timing (logit or complementary log-log for person-period data); (3) IV two-stage least squares for LATE using randomized assignment or staggered rollout as instrument; (4) propensity-score weighted models as observational baseline. Evaluation metrics: ITT estimates (difference in means/proportions), LATE (local average treatment effect), hazard ratio (HR) for timing, standard errors, 95% confidence intervals, power/MDE tables (minimum detectable effects in percentage points), first-stage F-statistic for instrument strength, coverage and bias in validation (difference between self-report and administrative birth records). Inference rules: cluster-robust VCOV with CR2 correction (clubSandwich), wild cluster bootstrap-t p-values, and Anderson-Rubin CIs under weak instruments. Experimental setup: firm-level randomization for nudges and staggered rollout for manager training; pre-specified covariates include age, sex, parity, education, household income, partner's employment, region fixed effects, and baseline fertility intention. Ablations and comparisons: (A) full model vs ablation removing the informal-norms latent factor to quantify its contribution; (B) ITT vs LATE to assess compliance impact; (C) clustered vs non-clustered standard errors to show inference sensitivity; (D) synthetic-data release algorithm comparison (sequential CART vs Bayesian multiple imputation) evaluated on utility (mean/sd bias) and disclosure risk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weak first-stage (low compliance) that yields weak instruments; high intra-class correlation (ICC) increasing design effect and reducing power. Data biases: social desirability and recall error in self-reports of intentions and leaves, and mismatches when linking to administrative birth records. Attrition: differential follow-up by fertility status or firm may bias estimates. Contamination: spillovers across firms (employees sharing information) can bias ITT towards zero and violate partial interference assumptions. Legal and governance constraints: Russian data-localization rules and restrictions on cross-border transfer may limit linkage or external replication. Scalability limits: rare outcome (birth) requires large samples or long follow-up; discrete-time hazard models assume correct time discretization. Generalizability: results reflect Russian institutional and cultural context and may not transfer to countries with different labor markets or family policies. Disclosure risk: small firm strata or rare combinations may enable re-identification in microdata releases under naive anonymization.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