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life_after_classroom_bayawan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descriptive phenomenological study of financial, physical, and emotional challenges faced by retired elementary teachers in Bayawan City, Philippines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Lower pension coverage causes higher depressive symptom scores among retired elementary teachers, and this effect is mediated by increased financial insecurity.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studying older adults include large surveys measuring health and quality of life, qualitative life-history studies that explore lived experience, and mixed-methods work combining both. Studies of retired teachers have often focused on pension adequacy or health outcomes separately. Typical methods include cross-sectional surveys using standardized scales (for example, depression or quality-of-life questionnaires) and small qualitative interviews analyzed by thematic coding. Limitations of current work are: (1) few studies combine financial, physical, and emotional domains in one coherent design; (2) many are not context-specific to the Philippines or to teacher populations; (3) quantitative studies often lack careful translation validation and measurement invariance checks (measurement invariance means a scale measures the same thing across groups); (4) causal pathways (mediation) are rarely pre-specified or tested longitudinally; (5) roster-based sampling and linkage to administrative pension data are underused, leaving selection-bias and governance issues unresolved.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financial, physical, and emotional challenges experienced by retired elementary teachers in Bayawan City, Philippines using a descriptive phenomenological design paired with targeted survey measurement and causal mediation analysis. We will collect in-depth life-history interviews (30–40) and a pilot (n=150–200), then a baseline survey (n=1,200–1,500) with stratified sampling by pension type, urban/rural status, and gender. Instruments include the Geriatric Depression Scale (GDS-15), WHOQOL-OLD, and a structured financial-insecurity inventory, translated and cognitively tested. Qualitative data will be analyzed by reflexive thematic analysis to surface lived mechanisms; quantitative data will test pre-specified causal estimands (total, direct, indirect effects) estimating mediation of pension coverage → financial insecurity → depressive symptoms using longitudinal estimators. Main contributions are: (1) integrated, context-specific evidence on multiple domains of wellbeing for retired Filipino teachers; (2) validated instruments and invariance testing across language and groups; and (3) pre-registered causal mediation estimates that inform policy on pensions, health referrals, and local supports. Results will clarify how pension systems and financial hardship drive mental health outcomes after retirement.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Qualitative: 30–40 life-history interviews and 4–6 focus groups sampled purposively across pension type (GSIS, SSS, none), urban/rural, gender, years since retirement, and Indigenous/language minorities in Bayawan City. 2) Pilot survey: n=150–200 for translation validation and psychometrics. 3) Baseline survey: n=1,200–1,500 stratified sample (target subgroups: GSIS≈600, SSS≈400, non-pensioners≈300, private-school≈200). Administrative linkage: GSIS/SSS/PhilHealth fields where MOUs permit. Baselines for comparison: (A) cross-sectional regression without mediation; (B) longitudinal SEM mediation; (C) marginal structural models (MSM) with inverse-probability weights. Define instruments: GDS-15 (depression), WHOQOL-OLD (quality of life), financial insecurity index (items enumerated in preregistration). Evaluation metrics: mean differences, standardized effect sizes (Cohen's d), indirect effect ab and 95% CI, Cronbach's alpha and McDonald's omega (reliability), CFA fit indices (CFI, RMSEA; CFI&gt;0.95 and RMSEA&lt;0.06 as typical thresholds), measurement invariance results (configural/metric/scalar), retention rate, referral completion rate. Experimental setup: translation/back-translation, cognitive interviews (8–12 per language), pilot EFA/CFA, then baseline. Analysis pipeline: survey weighting, MICE for MAR imputation, IPW for attrition, primary mediation estimated via MSM and SEM; sensitivity analyses using VanderWeele bounds and Imai mediation sensitivity (explain: these check how results change if unseen confounders exist). Ablation studies: 1) run mediation with and without survey weights; 2) run models excluding administrative linkage; 3) compare roster-based vs barangay-screened samples; 4) remove mediator adjustment to show change in indirect effect. Baselines to report: unadjusted differences, covariate-adjusted OLS/logistic, MSM, SEM. Reproducibility: preregistered code and synthetic data for public review; full code for analyses shared in a secure enclave.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Sampling bias: roster access may be denied and barangay screening can under- or over-represent subgroups (pension status, remote residents). 2) Selection/survival bias: retirees available for interview may differ systematically from those deceased or highly ill. 3) Small qualitative sample limits breadth; findings may not capture all variation. 4) Measurement noninvariance: translated scales may not behave the same across languages or groups (limits cross-group comparison). 5) Missing data that are not missing at random (MNAR) can bias estimates; standard imputation may fail. 6) Causal identification limits: unmeasured confounding between mediator and outcome may invalidate mediation claims. 7) Local referral capacity: BHERT/clinic resources in Agusan provinces may be insufficient to meet 24-hr referral targets. 8) Administrative delays and MOUs: slow approvals from DepEd/GSIS/SSS can delay sampling and increase costs. 9) Cost uncertainty: travel, transport, and telecom in Agusan (remote areas) may inflate per-respondent costs beyond estimates. 10) Generalizability: results are specific to Bayawan City / Agusan contexts and retired elementary teachers and may not extend to other regions or professions.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