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single_parent_wellbeing_cmp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causal comparative study of factors affecting family well-being in single-father versus single-mother households using target-trial emulation and quasi-experimental methods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Custodial parent gender (single-father versus single-mother) causally affects parental depression scores and child behavioral problem scores within three years after becoming the sole custodial parent.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documents differences in outcomes and resources between single-father and single-mother families and emphasizes psychological well-being and sociodemographic correlates. Most existing studies are cross-sectional or use simple adjusted regression, which limits causal claims. Key limitations in current approaches are: small and unrepresentative samples of single fathers, weak causal identification (lack of quasi-experiments or valid instruments), inadequate handling of time-varying confounders, poor measurement harmonization and invariance testing across groups, limited integration of policy context, and sparse qualitative–quantitative linkage. Measurement studies show scale non-equivalence across groups is common but is often untested. Recent methodological recommendations propose stronger natural-experiment identification, marginal structural models for longitudinal confounding, rigorous instrument diagnostics, explicit sensitivity analyses (E-values, Rosenbaum bounds), and structured qualitative mapping, but implementations remain rare in this literature.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compares family well-being in single-father and single-mother custodial households and estimates causal effects of custodial parent gender on parental depression and child behavioral problems. We emulate a target trial with time-zero defined as initiation of sole custodial status and follow families at 1, 3, and 5 years. Primary identification combines doubly robust propensity-weighted estimation and marginal structural models to address baseline and time-varying confounding; two-stage least squares using pre-specified policy and court-variation instruments provides complementary quasi-experimental estimates. Measures are harmonized across groups with invariance testing, and qualitative data are mapped to latent mediators (coparenting, stigma, social support). Main contributions are (1) a preregistered causal-analysis pipeline for comparing gendered custodial effects, (2) integration of policy indices and natural experiments for stronger identification, and (3) explicit sensitivity and measurement-invariance protocols. Expected outcomes are robust, policy-relevant estimates of gendered effects on family well-being and validated mediator pathways that inform targeted interventions.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survey of custodial single parents (children aged 0–12) recruited via online platforms, service centers, and community networks; administrative linkages where consented (income, child-support records, school records); policy databases (OECD, national/state statutes) for policy indices; qualitative two-tier sample (Tier1 n≈200 linked interviews, Tier2 n≈80 deep interviews/diaries). Sample sizes: target analytic N=2,500 (500 single fathers, 2,000 single mothers); pilot N=150–200 with ≥60 fathers. Target-trial design: time-zero = date of becoming sole custodial parent; follow-ups at 1, 3, 5 years. Baselines (comparators): 1) unadjusted OLS; 2) covariate-adjusted linear regression; 3) propensity-score IPTW (inverse probability of treatment weighting); 4) doubly robust estimator (IPTW + outcome regression); 5) marginal structural model (MSM) with stabilized weights for time-varying confounding; 6) 2SLS instrumental-variable estimates using candidate instruments (staggered childcare/leave rollouts, eligibility cutoffs, court-level custody propensity); 7) structural equation models (SEM) for mediation. Evaluation metrics: ATE and ATET estimates with 95% CI, standard error, p-value, RMSE (root mean squared error) in simulation, coverage probability (simulation), standardized mean differences (SMD) for covariate balance (&lt;0.10 target), first-stage F-statistics for IVs (&gt;10 threshold), measurement fit indices CFI and RMSEA for invariance (CFI≥0.95, RMSEA≤0.06), E-values for unmeasured confounding, Rosenbaum gamma tipping-point values. Missing data: multiple imputation (MI) m=50 imputations (MI = filling missing values multiple times; m=50 repeats), Rubin pooling combined with survey weights. Variance estimation: replicate bootstrap (1000 replicates) with cluster-robust SEs at policy-unit (state/county) level. Experimental setup: pre-register DAGs and core adjustment sets; run primary analyses on MI pooled data using doubly robust IPTW + outcome model; run MSM for longitudinal estimates; run 2SLS where instruments pass diagnostics. Ablations and comparisons: A) omit instruments (compare IV vs non-IV estimates); B) estimator comparison (OLS vs IPTW vs doubly robust vs MSM vs g-formula where implemented); C) missing-data strategy ablation (MI m=50 vs complete-case vs MI m=20); D) policy-index construction ablation (PCA-first-component vs equal-weight vs expert-weighted); E) measurement model ablation (full invariance vs partial invariance) and F) qualitative mediator inclusion ablation (SEM with vs without qualitative-derived mediators). Report pre-specified diagnostics: pre-trend placebo tests, SMD tables, first-stage F, overidentification p-values, sensitivity curves (E-value and Rosenbaum gamma), and simulation-based coverage/MSE under attrition scenarios (10%,20%,30%).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Recruitment bias: single-father households may be hard to recruit and nonrandom, limiting representativeness and external validity. Measurement non-equivalence: scales may fail scalar invariance across parent gender or cultural groups, complicating comparisons. Unmeasured confounding: even with IPTW, MSM, and IVs, exclusion restrictions or no-unmeasured-confounder assumptions may fail; instruments could be weak (low first-stage F) or invalid. Time-varying confounding: improper modeling may bias longitudinal effect estimates. Attrition and missing data: differential dropout across groups can bias estimates; MI assumes missing at random which may not hold. Small number of policy clusters: policy variation may be limited, reducing power for quasi-experiments and increasing standard errors for cluster-robust inference. Qualitative mapping limits: translating themes into reliable quantitative mediators depends on intercoder reliability and sample size. Ethical constraints: working with minors and administrative linkages requires strict consent and may limit data access. Generalization limits: findings may not generalize beyond studied age range (children 0–12), regions sampled, or to non-custodial populations. Computational limits: bootstrap + complex imputations + MSM and IV sensitivity simulations may be compute-intensive.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