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ormi_banggai_transmigration</w:t>
      </w:r>
    </w:p>
    <w:p>
      <w:r>
        <w:t xml:space="preserve"> </w:t>
      </w:r>
    </w:p>
    <w:p>
      <w:pPr>
        <w:pStyle w:val="Heading2"/>
      </w:pPr>
      <w:r>
        <w:t>Title</w:t>
      </w:r>
    </w:p>
    <w:p>
      <w:r>
        <w:t>A descriptive qualitative and mixed-methods study using psychometric validation and network analysis to test how ethnic and religious leaders and local institutions affect religious moderation in multiethnic transmigration communities in Simpang Raya, Banggai, Indonesia</w:t>
      </w:r>
    </w:p>
    <w:p>
      <w:r>
        <w:t xml:space="preserve"> </w:t>
      </w:r>
    </w:p>
    <w:p>
      <w:pPr>
        <w:pStyle w:val="Heading2"/>
      </w:pPr>
      <w:r>
        <w:t>Short Hypothesis</w:t>
      </w:r>
    </w:p>
    <w:p>
      <w:r>
        <w:t>Higher household-level Observable Religious Moderation Index (ORMI) scores are caused by greater cross-ethnic participation in shared religious institutions and inclusive leadership practices within a village.</w:t>
      </w:r>
    </w:p>
    <w:p>
      <w:r>
        <w:t xml:space="preserve"> </w:t>
      </w:r>
    </w:p>
    <w:p>
      <w:pPr>
        <w:pStyle w:val="Heading2"/>
      </w:pPr>
      <w:r>
        <w:t>Related Work</w:t>
      </w:r>
    </w:p>
    <w:p>
      <w:r>
        <w:t>Prior work on religious moderation and intergroup relations uses three main approaches: ethnographic case studies that document lived practices but lack generalizable measurement; survey instruments that measure tolerance and intergroup contact but often omit institutional leadership and network structure; and social-network analyses (ERGM/RSiena) that model tie formation but are often limited to single-site census data. Spatial-demography studies link geography to segregation but rarely integrate qualitative measures of religious practice. Sermon and discourse analysis studies reveal theological framing effects but are usually small-sample and not linked quantitatively to household outcomes. Limitations across these approaches include: poor integration between qualitative and quantitative measures; weak psychometric validation and measurement-invariance testing across language/ethnic groups; privacy and consent gaps in network and geodata collection; low-literacy respondent modes under-tested; and insufficient power or explicit sample targets for network mediation analyses. These gaps leave unclear how leadership, institutions, and networks jointly drive observable moderation in transmigrant settings.</w:t>
      </w:r>
    </w:p>
    <w:p>
      <w:r>
        <w:t xml:space="preserve"> </w:t>
      </w:r>
    </w:p>
    <w:p>
      <w:pPr>
        <w:pStyle w:val="Heading2"/>
      </w:pPr>
      <w:r>
        <w:t>Abstract</w:t>
      </w:r>
    </w:p>
    <w:p>
      <w:r>
        <w:t>This study tests whether inclusive ethnic and religious leadership and institutional practices increase observable religious moderation in multiethnic transmigration communities of Simpang Raya, Banggai. We combine descriptive qualitative fieldwork with psychometric index development (Observable Religious Moderation Index, ORMI), multilevel household surveys, sermon discourse coding, and social-network analysis. The project pre-specifies ORMI items, pilot validation steps (PCA, CFA, IRT), and measurement-invariance checks across ethnic and language groups. We collect household data in 24 villages (≈720 households), full-network censuses in 4 villages (150–300 adults each), egocentric networks (≈300 respondents), and a sermon corpus (≈200 sermons). Analyses include multilevel regressions, ERGM/RSiena network models, and mediation tests linking leadership/network brokerage to ORMI. Main contributions are: a validated, transferable index of observable religious moderation; explicit protocols for network and geodata consent/privacy; and integrated mixed-method evidence on institutional mechanisms. Expected outcomes are robust, reproducible estimates of effect sizes for leadership and institutional predictors, policy-relevant local briefs, and open simulation code for power planning.</w:t>
      </w:r>
    </w:p>
    <w:p>
      <w:r>
        <w:t xml:space="preserve"> </w:t>
      </w:r>
    </w:p>
    <w:p>
      <w:pPr>
        <w:pStyle w:val="Heading2"/>
      </w:pPr>
      <w:r>
        <w:t>Experiments</w:t>
      </w:r>
    </w:p>
    <w:p>
      <w:r>
        <w:t>Datasets: 1) Pilot: 4 pilot villages representing typologies (new/long-settled × high/low ethnic mix), 30 households per pilot village (Npilot=120). 2) Main household survey: 24 villages × 30 households = 720 household respondents (design effect ~1.5, effective N≈480). 3) Full-network census: 4 villages with estimated 150 and 300 adult nodes (two small ~150, two large ~300). 4) Egocentric networks: 300 respondents across 6 additional villages. 5) Sermon corpus: ~200 sermons sampled across mosque types and villages (minimum 10 sermons per typology). Baselines: A) behavioral-only ORMI (behaviors only); B) structural-only ORMI (structural ties only); C) unweighted ORMI (equal weights) versus D) weighted ORMI from PCA/CFA; E) no-network multilevel model (omits network measures). Evaluation metrics: Psychometrics—Cronbach's alpha, McDonald’s omega, CFA fit indices (CFI, RMSEA, SRMR), IRT discrimination; Invariance—multi-group CFA progression (configural, metric, scalar) and DIF statistics; Predictive validity—Pearson/Spearman correlations between ORMI and sermon inclusivity scores, incidence reports, and mutual-aid counts; Causal estimates—multilevel mixed-effects models with village random intercepts, estimate of ORMI difference per unit increase in cross-ethnic participation (report effect size, standard error, 95% CI); Network models—ERGM goodness-of-fit and parameter significance, RSiena actor and behavior effects across waves; Mediation—bootstrap mediation tests for brokerage -&gt; ORMI -&gt; outcome with clustered standard errors. Experimental setup: pre-register analysis plan and weighting rules; run pilot PCA/CFA and finalize ORMI; collect network ties using a name-interpreter protocol with hashed IDs (hash salt stored separately); obtain opt-in consent for geolocation and network naming; run Monte Carlo simulations (1,000 reps per scenario) for ERGM/RSiena power using pilot priors: homophily 0.2–0.6, transitivity 0.1–0.4, reciprocity 0.1–0.5; seeds and parameter ranges archived. Comparison/ablation studies: 1) Full ORMI vs behavioral-only vs structural-only to assess contribution of structural items. 2) Equal-weight vs PCA/CFA-weighted ORMI. 3) ACASI/audio-assisted modules vs interviewer-administered modules for sensitive items to measure mode effects (compare item means, nonresponse, and time-to-complete). Reporting: publish sample code, simulation seeds, and parameter priors for reproducibility.</w:t>
      </w:r>
    </w:p>
    <w:p>
      <w:r>
        <w:t xml:space="preserve"> </w:t>
      </w:r>
    </w:p>
    <w:p>
      <w:pPr>
        <w:pStyle w:val="Heading2"/>
      </w:pPr>
      <w:r>
        <w:t>Risk Factors And Limitations</w:t>
      </w:r>
    </w:p>
    <w:p>
      <w:r>
        <w:t>Technical failure modes: ORMI may fail psychometric validity or scalar invariance across groups, forcing group-specific scores. Network data may have high missingness or refusal for named ties, reducing ERGM/RSiena validity. Low-literacy respondents may reduce feasibility of ACASI; interviewer-assisted sensitive techniques may cause social-desirability bias. Data and evaluation biases: sampling nonresponse and recruitment of interethnic couples via snowballing can bias estimates; sermon sampling may over-represent visible mosques. Scalability and compute: RSiena and ERGM simulations for large networks (300 nodes) require substantial compute and tuning; mediation bootstrap with clustered data is compute-intensive. Privacy and re-identification: household GPS and network ties create re-id risk; differential privacy parameters (ε) create trade-offs between accuracy and privacy and require justification. Generalization limits: results are context-specific to Banggai transmigration settlements and may not transfer to other regions without revalidation. Ethical risks: sermon content or mapping outputs could inflame local tensions if publicly released without gating; enumerator safety in tense contexts is a field risk.</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